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
b)	ćwiczenia – 15 godz.
c)	konsultacje – 2 godz.
2.	Praca własna studenta – 40 godzin, w tym: 
a)	 przygotowywanie się studenta do kolokwiów 20 godzin,
b)	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
b)	ćwiczenia – 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NW108_W01: </w:t>
      </w:r>
    </w:p>
    <w:p>
      <w:pPr/>
      <w:r>
        <w:rPr/>
        <w:t xml:space="preserve">																												Student ma podstawową wiedzę o siłach, momentach sił, parach sił. Wie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NW108_W02: </w:t>
      </w:r>
    </w:p>
    <w:p>
      <w:pPr/>
      <w:r>
        <w:rPr/>
        <w:t xml:space="preserve">																															Student wie jak wykorzystać rachunek wektorowy w zagadnieniach ze statyki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NW108_U01: </w:t>
      </w:r>
    </w:p>
    <w:p>
      <w:pPr/>
      <w:r>
        <w:rPr/>
        <w:t xml:space="preserve">														Student potrafi rozwiązywać proste problemy z zakresu statyki, w szczególności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NW108_U02: </w:t>
      </w:r>
    </w:p>
    <w:p>
      <w:pPr/>
      <w:r>
        <w:rPr/>
        <w:t xml:space="preserve">																									Student potrafi wykorzystać rachunek wektorowy w statyce niutonowskiej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NW108_U03: </w:t>
      </w:r>
    </w:p>
    <w:p>
      <w:pPr/>
      <w:r>
        <w:rPr/>
        <w:t xml:space="preserve">																								Student umie określić zakres stosowalności metod statyki niutonowskiej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NW108_K01: </w:t>
      </w:r>
    </w:p>
    <w:p>
      <w:pPr/>
      <w:r>
        <w:rPr/>
        <w:t xml:space="preserve">														Student umie komunikować się w zakresie dotyczącym statyki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2024-05-19T06:03:52+02:00</dcterms:created>
  <dcterms:modified xsi:type="dcterms:W3CDTF">2024-05-19T06:03:52+02:00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