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
b)	ćwiczenia – 15 godz.
c)	konsultacje – 5 godz.
2.	Praca własna studenta – 40 godzin, w tym: 
a)	 przygotowywanie się studenta do kolokwiów 20 godzin,
b)	Przygotowywanie się do ćwiczeń (realizacja zadań domowych) 20 godzin.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NW108_W02: </w:t>
      </w:r>
    </w:p>
    <w:p>
      <w:pPr/>
      <w:r>
        <w:rPr/>
        <w:t xml:space="preserve">																																						Student wie jak wykorzystać rachunek wektorowy w zagadnieniach ze statyki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NW108_W03: </w:t>
      </w:r>
    </w:p>
    <w:p>
      <w:pPr/>
      <w:r>
        <w:rPr/>
        <w:t xml:space="preserve">																															Student zna zakres stosowalności metod statyki niutonowskiej, w tym wie czym się różnią zagadnienia statycznie wyznaczalne od statycznie niewyznaczalnych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NW108_U01: </w:t>
      </w:r>
    </w:p>
    <w:p>
      <w:pPr/>
      <w:r>
        <w:rPr/>
        <w:t xml:space="preserve">																					Student potrafi rozwiązywać proste problemy z zakresu statyki, w szczególności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NW108_U02: </w:t>
      </w:r>
    </w:p>
    <w:p>
      <w:pPr/>
      <w:r>
        <w:rPr/>
        <w:t xml:space="preserve">																																Student potrafi wykorzystać rachunek wektorowy w statyce niutonowskiej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NW108_U03: </w:t>
      </w:r>
    </w:p>
    <w:p>
      <w:pPr/>
      <w:r>
        <w:rPr/>
        <w:t xml:space="preserve">																															Student umie określić zakres stosowalności metod statyki niutonowskiej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NW108_K01: </w:t>
      </w:r>
    </w:p>
    <w:p>
      <w:pPr/>
      <w:r>
        <w:rPr/>
        <w:t xml:space="preserve">																					Student umie komunikować się w zakresie dotyczącym statyki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2024-05-18T11:54:10+02:00</dcterms:created>
  <dcterms:modified xsi:type="dcterms:W3CDTF">2024-05-18T11:54:10+02:00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