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Marks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wykładach – 30 h
2. obecność na laboratoriach – 30 h
3. przygotowanie do zajęć lab. – 30 h
4. zapoznanie się z literaturą – 20 h
Razem: 30+30+30+20 = 110 h, czyli  – 4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Razem: 30+30 = 60 h, czyli  –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lab. –30 h
Razem: 30+30 = 60 h, czyli  –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 oraz ugruntowanie umiejętności tworzenia prostych aplikacji  z wykorzystaniem profesjonalnego środowiska uruchomieniowego.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Klasa jako rozszerzenie pojęcia struktury. 
     Definiowanie prostych    klas. 
     Podstawowe założenia paradygmatu obiektowego.
2.  Pola i metody niestatyczne. Wskaźnik this.
     Konstruktory, destruktor i operator przypisania. 
3.  Przeciążanie funkcji i operatorów. 
     Operatory new, delete.  Funkcje zaprzyjaźnione.
4.  Klasa z dynamicznie alokowaną tablicą. 
     Pola i metody statyczne. Dostępność składowych klasy.
5.  Klasa z polem obiektowym. Dziedziczenie. 
     Polimorfizm i metody wirtualne.
6.  Metody czysto wirtualne i abstrakcyjne typy danych (ATD).
7.  Obsługa błędów. Obsługa wyjątków. 
     Wyjątki jako mechanizm sterujący.
8.  Konwersje, operatory konwersji i konwertery 
     (konsekwencje obliczeniowe).
9.  Definiowanie i wykorzystanie szablonów funkcji i klas.
10.  Elementy biblioteki standardowej, strumienie i pliki.
11.  STL i narzędzia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6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 – Język C++, WNT, 2002
2.	S.B. Lippman – Podstawy języka C++, WNT, 1997
3.	J.Grębosz – Symfonia C++ standard, Edition 2005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zna podstawowe pojęcia związane z paradygmatem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zna składnię i zasadnicze konstrukcje wybranego języka programowania obiektowego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X1A_W04, X1A_W05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samodzielnie definiować typy danych opisujące obiekty przydatne w realizacji prostych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ma umiejętność posługiwania się plikami (strumieniami) i wykorzystywania elementów biblioteki standardowej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pracować w profesjonalnym środowisku uruchomieniowym (MS Visual Studio)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PO_KS01: </w:t>
      </w:r>
    </w:p>
    <w:p>
      <w:pPr/>
      <w:r>
        <w:rPr/>
        <w:t xml:space="preserve">Potrafi współdziałać i pracować w grupie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2024-05-17T18:19:12+02:00</dcterms:created>
  <dcterms:modified xsi:type="dcterms:W3CDTF">2024-05-17T18:19:12+02:00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