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komputerowa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Joanna Porter-Sobieraj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60 h; w tym
a. obecność na wykładach – 30 h
b. obecność na laboratoriach – 30 h
2. przygotowanie do zajęć laboratoryjnych – 50 h
3. zapoznanie się z literaturą – 10 h
4. konsultacje – 5 h
5. przygotowanie do egzaminu i obecność na egzaminie – 15 h
Razem nakład pracy studenta 140 h = 5 pkt.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
2. obecność na laboratoriach – 30 h
3. konsultacje  – 5 h
Razem: 65 h, co odpowiada 3 pkt.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laboratoriach – 30 h
2. przygotowanie do zajęć laboratoryjnych – 50 h
Razem: 80 h, co odpowiada 3 pkt.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Grafika komputerowa I, Modelowanie geometryczne.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technikami grafiki komputerowej, w szczególności z zaawansowanymi zagadnieniami przetwarzania i wizualizacji trójwymiarowych scen na potrzeby rzeczywistości wirtualnej (m.in. gier, symulacji komputerowych, systemów CAD/CAM). W ramach przedmiotu studenci poznają algorytmy renderowania obiektów, dobierają metody wizualizacji do specyfiki problemu oraz implementują je z wykorzystaniem API bibliotek graficznych i możliwości najnowszych kart graficznych.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  Modele oświetlenia.
2.  Cieniowanie modeli wielościanowych.
3.  Teksturowanie powierzchni.
4.  Eliminacja krawędzi i ścian niewidocznych.
5.  Generowanie cieni.
6.  Wyświetlanie obiektów półprzezroczystych.
7.  Odbicia w powierzchniach zwierciadlanych.
8.  Antyaliasing.
9.  Triangulacja obciętych powierzchni krzywoliniowych. Triangulacja zbioru punktów.
10.  Animacja.
11.  Metody optymalnego wyświetlania terenu i scen zamkniętych.
12.  Metoda śledzenia promieni. Lokalizacja obliczeń.
13.  Metody oświetlenia globalnego.
14.  Sprzętowe wspomaganie wyświetlania. Jednostki cieniowania wierzchołków i pikseli.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może maksymalnie otrzymać 110 punktów (80 pkt. za zadania laboratoryjne i 30 pkt. za egzamin). Zajęcia laboratoryjne składają się z zadań rozwiązywanych indywidualnie lub w grupach dwuosobowych. Egzamin obejmuje materiał przedstawiamy na wykładzie. Ocena końcowa zależy od sumy zdobytych punktów i wystawiana jest zgodnie z następującymi zasadami: 0–50 punktów – brak zaliczenia, 51–60 – 3,0,  61–70 – 3,5, 71–80 – 4,0, 81–90 – 4,5, 91–110 –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Treglia (Editors) “Game Programming Gems Series”, Charles River Media, 2000-2002.
Fernando (Editors) “GPU Gems Series”, Pearson Education, 2004-2007.
Sweet “OpenGL Superbible”, Waite Group Press, 1999.
Luna “Introduction to 3D Game Programming with DirectX 9.0”, Wordware Publishing, Inc., 2003.
Hughes “Computer Graphics: Principles and Practice”, Addison-Wesley, 1990.
Zabrodzki (red): Grafika komputerowa, metody i narzędzia, WNT,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zaawansowane algorytmy i struktury danych do realistycznego i efektywnego przetwarzania i wyświetlania trójwymiarowych scen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CC_W03, CC_W05, CC_W11, CC_W13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przeanalizować wymagania w przedsięwzięciach związanych z wizualizacją komputerową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Posiada umiejętność selekcji i krytycznej interpretacji informacji technicznej oraz potrafi ją wykorzystać do rozwiązania problemów związanych z wydajnym przetwarzaniem i wizualizacją scen 3D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CC_U01, CC_U04, CC_U05, CC_U06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U2_03: </w:t>
      </w:r>
    </w:p>
    <w:p>
      <w:pPr/>
      <w:r>
        <w:rPr/>
        <w:t xml:space="preserve">Potrafi zaprojektować i zaimplementować efektywne algorytmy wyświetlenia przy użyciu bibliotek graficznych i możliwości najnowszych kart graficznych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CC_U07, CC_U09, CC_U11, CC_U12, CC_U16, CC_U17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Potrafi posługiwać się językiem angielskim w stopniu umożliwiającym bezproblemową komunikację w zakresie grafiki komputerowej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ocena wykonanych projektów lab.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CC_K08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2024-05-18T21:45:47+02:00</dcterms:created>
  <dcterms:modified xsi:type="dcterms:W3CDTF">2024-05-18T21:45:47+02:00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