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Porter-Sobieraj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a. obecność na wykładach – 30 h
b. obecność na laboratoriach – 30 h
2. przygotowanie do zajęć laboratoryjnych – 50 h
3. zapoznanie się z literaturą – 10 h
4. konsultacje – 5 h
5. przygotowanie do egzaminu i obecność na egzaminie – 15 h
Razem nakład pracy studenta 140 h = 5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3. konsultacje  – 5 h
Razem: 65 h, co odpowiada 3 pkt.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50 h
Razem: 80 h, co odpowiada 3 pkt.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komputerowa I, Modelowanie geometryczne.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technikami grafiki komputerowej, w szczególności z zaawansowanymi zagadnieniami przetwarzania i wizualizacji trójwymiarowych scen na potrzeby rzeczywistości wirtualnej (m.in. gier, symulacji komputerowych, systemów CAD/CAM). W ramach przedmiotu studenci poznają algorytmy renderowania obiektów, dobierają metody wizualizacji do specyfiki problemu oraz implementują je z wykorzystaniem API bibliotek graficznych i możliwości najnowszych kart graficznych.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  Modele oświetlenia.
2.  Cieniowanie modeli wielościanowych.
3.  Teksturowanie powierzchni.
4.  Eliminacja krawędzi i ścian niewidocznych.
5.  Generowanie cieni.
6.  Wyświetlanie obiektów półprzezroczystych.
7.  Odbicia w powierzchniach zwierciadlanych.
8.  Antyaliasing.
9.  Triangulacja obciętych powierzchni krzywoliniowych. Triangulacja zbioru punktów.
10.  Animacja.
11.  Metody optymalnego wyświetlania terenu i scen zamkniętych.
12.  Metoda śledzenia promieni. Lokalizacja obliczeń.
13.  Metody oświetlenia globalnego.
14.  Sprzętowe wspomaganie wyświetlania. Jednostki cieniowania wierzchołków i pikseli.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maksymalnie otrzymać 110 punktów (80 pkt. za zadania laboratoryjne i 30 pkt. za egzamin). Zajęcia laboratoryjne składają się z zadań rozwiązywanych indywidualnie lub w grupach dwuosobowych. Egzamin obejmuje materiał przedstawiamy na wykładzie. Ocena końcowa zależy od sumy zdobytych punktów i wystawiana jest zgodnie z następującymi zasadami: 0–50 punktów – brak zaliczenia, 51–60 – 3,0,  61–70 – 3,5, 71–80 – 4,0, 81–90 – 4,5, 91–110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Treglia (Editors) “Game Programming Gems Series”, Charles River Media, 2000-2002.
Fernando (Editors) “GPU Gems Series”, Pearson Education, 2004-2007.
Sweet “OpenGL Superbible”, Waite Group Press, 1999.
Luna “Introduction to 3D Game Programming with DirectX 9.0”, Wordware Publishing, Inc., 2003.
Hughes “Computer Graphics: Principles and Practice”, Addison-Wesley, 1990.
Zabrodzki (red): Grafika komputerowa, metody i narzędzia, WNT,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zaawansowane algorytmy i struktury danych do realistycznego i efektywnego przetwarzania i wyświetlania trójwymiarowych scen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CC_W03, CC_W05, CC_W11, CC_W13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przeanalizować wymagania w przedsięwzięciach związanych z wizualizacją komputerową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projektów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Posiada umiejętność selekcji i krytycznej interpretacji informacji technicznej oraz potrafi ją wykorzystać do rozwiązania problemów związanych z wydajnym przetwarzaniem i wizualizacją scen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projektów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CC_U04, CC_U05, CC_U06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zaprojektować i zaimplementować efektywne algorytmy wyświetlenia przy użyciu bibliotek graficznych i możliwości najnowszych kart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CC_U07, CC_U09, CC_U11, CC_U12, CC_U16, CC_U17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K2_02: </w:t>
      </w:r>
    </w:p>
    <w:p>
      <w:pPr/>
      <w:r>
        <w:rPr/>
        <w:t xml:space="preserve">Potrafi posługiwać się językiem angielskim w stopniu umożliwiającym bezproblemową komunikację w zakresie grafiki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projektów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2026-08-23T02:48:38+02:00</dcterms:created>
  <dcterms:modified xsi:type="dcterms:W3CDTF">2026-08-23T02:48:38+02:00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