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Udział w ćwiczeniach laboratoryjnych 15x2=30 godz.
Przygotowanie do wykładów, przejrzenie materiałów, dodatkowej literatury,  implemenacja algorytmów, przygotowanie do ćwiczeń 60 godz.
Łącznie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 Metody numeryczne,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Zastosowania równań różniczkowych cząstkowych do modelowania matematycznego. Algorytmy numeryczne służące do rozwiązywania tych równań. 
Kodowanie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zagadnień fizycznych
2. Równanie Laplace'a i Helmoholza
3. Równanie struny i membrany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WBA_W_01: </w:t>
      </w:r>
    </w:p>
    <w:p>
      <w:pPr/>
      <w:r>
        <w:rPr/>
        <w:t xml:space="preserve">Zna aproksymację równań różniczkowych cząstkowych w przestrzeni liniowej skończenie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X2A_W04</w:t>
      </w:r>
    </w:p>
    <w:p>
      <w:pPr>
        <w:keepNext w:val="1"/>
        <w:spacing w:after="10"/>
      </w:pPr>
      <w:r>
        <w:rPr>
          <w:b/>
          <w:bCs/>
        </w:rPr>
        <w:t xml:space="preserve">Efekt WBA_W_02: </w:t>
      </w:r>
    </w:p>
    <w:p>
      <w:pPr/>
      <w:r>
        <w:rPr/>
        <w:t xml:space="preserve">Zna metody analizy numerycznej stabilności algorytmów rozwiązań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WBA_U_01: </w:t>
      </w:r>
    </w:p>
    <w:p>
      <w:pPr/>
      <w:r>
        <w:rPr/>
        <w:t xml:space="preserve">Umie zastosować metodę aproksymacji rozwiązania równania różniczkowego cząstkowego w przestrzeni liniowej skończenie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WBA_U_02: </w:t>
      </w:r>
    </w:p>
    <w:p>
      <w:pPr/>
      <w:r>
        <w:rPr/>
        <w:t xml:space="preserve">Potrafi stosować metodę analizy spektralnej do badania zbieżności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WBA_U_03: </w:t>
      </w:r>
    </w:p>
    <w:p>
      <w:pPr/>
      <w:r>
        <w:rPr/>
        <w:t xml:space="preserve">Umie oszacować częstości rezonasowe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2024-05-19T14:30:09+02:00</dcterms:created>
  <dcterms:modified xsi:type="dcterms:W3CDTF">2024-05-19T14:30:09+02:00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