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dyskretne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Jerzy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
Obecność na ćwiczeniach – 15 h
Konsultacje z prowadzącym zajęcia – 5h
Rozwiązywanie zadań do samodzielnego rozwiązania – 30 h
Zapoznanie się z literaturą – 20h 
Przygotowanie do kolokwiów – 30 h
Przygotowanie do egzaminu  - 30 h
RAZEM: 160 h = 6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Dyskretna, Wstęp do programowania matematycznego
Umiejętność stosowania metody sympleks.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programowaniem dyskretnym i jego zastosowaniami. Przedstawienie wybranych zagadnień i podstawowych metod programowania dyskretnego oraz wyrobienie umiejętności ich stosowania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Programowanie dyskretne i jego zastosowania. Formułowanie modeli za pomocą zmiennych binarnych. Złożoność obliczeniowa. Unimodularność. Dualność. Zagadnienia mieszane.
2. Metody programowania dyskretnego: metody odcięć, metody podziału i ograniczeń, metody przybliżone.
3. Wybrane zagadnienia programowania dyskretnego: zagadnienia transportowe, problemy najkrótszych dróg, problem komiwojażera, zagadnienia załadunku, zagadnienia lokalizacyjne, wybrane problemy szeregowania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(maksymalnie 40 punktów): 2 kolokwia po maksymalnie 18 punktów oraz maksymalnie 4 punkty do zdobycia za aktywność na zajęciach i nieobowiązkowe prace domowe.
Brak wymogu zaliczenia ćwiczeń.
Egzamin (maksymalnie 60 punktów): 4-5 zadań sprawdzających umiejętności praktyczne i zawierających pytania teoretyczne dotyczące treści omawianych na wykładzie.
Ocena z przedmiotu wyznaczana na podstawie sumy punktów uzyskanych na ćwiczeniach i egzaminie według następujących zasad:
51-60 punktów w sumie - 3.0,
61-70 - 3.5,
71-80 - 4.0,
81-90 - 4.5,
powyżej 90 - 5.0.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M.M. Sysło, N. Deo, J.Kowalik, Algorytmy optymalizacji dyskretnej, PWN, Warszawa 1995.
 2. S. Walukiewicz, Programowanie Dyskretne,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MNI_PRD_W01: </w:t>
      </w:r>
    </w:p>
    <w:p>
      <w:pPr/>
      <w:r>
        <w:rPr/>
        <w:t xml:space="preserve">zna teoretyczne podstawy metod programowania dyskretnego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X2A_W04</w:t>
      </w:r>
    </w:p>
    <w:p>
      <w:pPr>
        <w:keepNext w:val="1"/>
        <w:spacing w:after="10"/>
      </w:pPr>
      <w:r>
        <w:rPr>
          <w:b/>
          <w:bCs/>
        </w:rPr>
        <w:t xml:space="preserve">Efekt MNI_PRD_W02: </w:t>
      </w:r>
    </w:p>
    <w:p>
      <w:pPr/>
      <w:r>
        <w:rPr/>
        <w:t xml:space="preserve">zna podstawowe zagadnienia i metody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MNI_PRD_W03: </w:t>
      </w:r>
    </w:p>
    <w:p>
      <w:pPr/>
      <w:r>
        <w:rPr/>
        <w:t xml:space="preserve">zna złożoność obliczeniową podstawowych zagadnień i metod programowania dyskretnego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MNI_PRD_U01: </w:t>
      </w:r>
    </w:p>
    <w:p>
      <w:pPr/>
      <w:r>
        <w:rPr/>
        <w:t xml:space="preserve">potrafi stosować metodę odcięć oraz metodę podziału i ograniczeń do rozwiązywania zagadnień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MNI_PRD_U02: </w:t>
      </w:r>
    </w:p>
    <w:p>
      <w:pPr/>
      <w:r>
        <w:rPr/>
        <w:t xml:space="preserve">potrafi stosować i analizować metody przybliżone do rozwiązywania zagadnień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MNI_U17, MNI_U18, MNI_U19, 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X2A_U04, X2A_U04, X2A_U08, X2A_U09, X2A_U06, X2A_U07</w:t>
      </w:r>
    </w:p>
    <w:p>
      <w:pPr>
        <w:keepNext w:val="1"/>
        <w:spacing w:after="10"/>
      </w:pPr>
      <w:r>
        <w:rPr>
          <w:b/>
          <w:bCs/>
        </w:rPr>
        <w:t xml:space="preserve">Efekt MNI_PRD_U03: </w:t>
      </w:r>
    </w:p>
    <w:p>
      <w:pPr/>
      <w:r>
        <w:rPr/>
        <w:t xml:space="preserve">potrafi formułować modele matematyczne za pomocą zmiennych dyskretnych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MNI_PRD_K01: </w:t>
      </w:r>
    </w:p>
    <w:p>
      <w:pPr/>
      <w:r>
        <w:rPr/>
        <w:t xml:space="preserve">rozumie potrzebę pogłębiania wiedzy z zakresu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2024-05-19T13:36:14+02:00</dcterms:created>
  <dcterms:modified xsi:type="dcterms:W3CDTF">2024-05-19T13:36:14+02:00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