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Finanse Grup Kapitałowych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Magdalena Grabowska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ZFR 34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h w tym 16 h - wykład; 20 h - przygotowanie do zajęć w tym zapoznanie z literaturą, 25 h - przygotowanie do zaliczenia, 8 h - konsultacje, 6 h - zaliczenia w dodatkowych terminach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0,64 ECTS - wykłady 
0,32 ECTS - konsultacje; 0,24 ECTS - zaliczenia w dodatkowych terminach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funkcjonowaniem grup kapitałowych, w szczególności z problemami finansowania, opodatkowania oraz sporządzania  i analizowania skonsolidowanych sprawozdań finansowych.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W1. Procesy konsolidacji w gospodarce.
W2. Organizacja i funkcjonowanie grup kapitałowych.
W3. Sprawozdawczość finansowa grup kapitałowych.
W4. Konsolidacja sprawozdań finansowych. 
W5. Finansowanie działalności grup kapitałowych.
W6. Ocena sytuacji finansowej grup kapitałowych.
W7. Opodatkowanie grup kapitałowych.
W8. Cash management w grupach kapitałowych.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dwóch kolokwiów w formie rozwiązania zadań, pytań opisowych i  testu wyboru. Do zaliczenia każdego kolokwium koniecznym jest uzyskanie 60% punktów na ocenę dst, 80% na ocenę db, 95% na ocenę bdb.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Grupy kapitałowe w Polsce, strategie i struktury, red. Maria Romanowska, PWE, Warszawa 2011;                                              2. Jan Śliwa, Zarządzanie finansami w grupach kapitałowych, Wydawnictwo Naukowe Wydziału  Zarządzania Uniwersytetu Warszawskiego, Warszawa 2011;                                                    3. Jan Rak, Jan Turyna, Rachunkowość i finanse grupy kapitałowej, Difin, Warszawa 2004;                                                  4. Michał Trocki, Grupy kapitałowe – tworzenie i funkcjonowanie, PWN, Warszawa 2004;                                                 5.   Wojciech Szumielewicz, Cash management w grupach kapitałowych, Difin, Warszawa 2009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W21: </w:t>
      </w:r>
    </w:p>
    <w:p>
      <w:pPr/>
      <w:r>
        <w:rPr/>
        <w:t xml:space="preserve">Ma podstawową wiedzę dotyczącą finansów  grup kapitałowych,  pozyskania wybranych źródeł finansowania działalnosci bieżącej i rozwojowej grup kapitałowych;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U07: </w:t>
      </w:r>
    </w:p>
    <w:p>
      <w:pPr/>
      <w:r>
        <w:rPr/>
        <w:t xml:space="preserve">Umie, na podstawie skonsolidowanego sprawozdania finansowego, ocenIać sytuację majątkową i finansową grup kapitałowych, z uwzględnieniem wyników osiąganych przez grupę, jednostkę dominującą i jednostki podporządkowane.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keepNext w:val="1"/>
        <w:spacing w:after="10"/>
      </w:pPr>
      <w:r>
        <w:rPr>
          <w:b/>
          <w:bCs/>
        </w:rPr>
        <w:t xml:space="preserve">Efekt U27: </w:t>
      </w:r>
    </w:p>
    <w:p>
      <w:pPr/>
      <w:r>
        <w:rPr/>
        <w:t xml:space="preserve">Potrafi wykorzystać wiedzę z zakresu zarządzania gotówką, do wskazania instrumentów wspierających zarządzanie płynnością typowyvh dls grup oraz form współdziałania spółek w tym zakresie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keepNext w:val="1"/>
        <w:spacing w:after="10"/>
      </w:pPr>
      <w:r>
        <w:rPr>
          <w:b/>
          <w:bCs/>
        </w:rPr>
        <w:t xml:space="preserve">Efekt U30: </w:t>
      </w:r>
    </w:p>
    <w:p>
      <w:pPr/>
      <w:r>
        <w:rPr/>
        <w:t xml:space="preserve">Potrafi, wykorzystując posiadana wiedzę sporządzić skonsolidowane sprawozdanie finansowe.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zadania do samodzielnego rozwiązania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K_U30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K14: </w:t>
      </w:r>
    </w:p>
    <w:p>
      <w:pPr/>
      <w:r>
        <w:rPr/>
        <w:t xml:space="preserve">Jest zdolny do samodzielnego zidentyfikowania problemów finansowania grup kapitałowych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2024-05-18T12:22:02+02:00</dcterms:created>
  <dcterms:modified xsi:type="dcterms:W3CDTF">2024-05-18T12:22:02+02:00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