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keepNext w:val="1"/>
        <w:spacing w:after="10"/>
      </w:pPr>
      <w:r>
        <w:rPr>
          <w:b/>
          <w:bCs/>
        </w:rPr>
        <w:t xml:space="preserve">Nazwa przedmiotu: </w:t>
      </w:r>
    </w:p>
    <w:p>
      <w:pPr>
        <w:spacing w:before="20" w:after="190"/>
      </w:pPr>
      <w:r>
        <w:rPr/>
        <w:t xml:space="preserve">Detekcja promieniowania jądrowego</w:t>
      </w:r>
    </w:p>
    <w:p>
      <w:pPr>
        <w:keepNext w:val="1"/>
        <w:spacing w:after="10"/>
      </w:pPr>
      <w:r>
        <w:rPr>
          <w:b/>
          <w:bCs/>
        </w:rPr>
        <w:t xml:space="preserve">Koordynator przedmiotu: </w:t>
      </w:r>
    </w:p>
    <w:p>
      <w:pPr>
        <w:spacing w:before="20" w:after="190"/>
      </w:pPr>
      <w:r>
        <w:rPr/>
        <w:t xml:space="preserve">dr inż. Adam Kisiel</w:t>
      </w:r>
    </w:p>
    <w:p>
      <w:pPr>
        <w:keepNext w:val="1"/>
        <w:spacing w:after="10"/>
      </w:pPr>
      <w:r>
        <w:rPr>
          <w:b/>
          <w:bCs/>
        </w:rPr>
        <w:t xml:space="preserve">Status przedmiotu: </w:t>
      </w:r>
    </w:p>
    <w:p>
      <w:pPr>
        <w:spacing w:before="20" w:after="190"/>
      </w:pPr>
      <w:r>
        <w:rPr/>
        <w:t xml:space="preserve">Obowiązkowy</w:t>
      </w:r>
    </w:p>
    <w:p>
      <w:pPr>
        <w:keepNext w:val="1"/>
        <w:spacing w:after="10"/>
      </w:pPr>
      <w:r>
        <w:rPr>
          <w:b/>
          <w:bCs/>
        </w:rPr>
        <w:t xml:space="preserve">Poziom kształcenia: </w:t>
      </w:r>
    </w:p>
    <w:p>
      <w:pPr>
        <w:spacing w:before="20" w:after="190"/>
      </w:pPr>
      <w:r>
        <w:rPr/>
        <w:t xml:space="preserve">Studia II stopnia</w:t>
      </w:r>
    </w:p>
    <w:p>
      <w:pPr>
        <w:keepNext w:val="1"/>
        <w:spacing w:after="10"/>
      </w:pPr>
      <w:r>
        <w:rPr>
          <w:b/>
          <w:bCs/>
        </w:rPr>
        <w:t xml:space="preserve">Program: </w:t>
      </w:r>
    </w:p>
    <w:p>
      <w:pPr>
        <w:spacing w:before="20" w:after="190"/>
      </w:pPr>
      <w:r>
        <w:rPr/>
        <w:t xml:space="preserve">Fizyka Techniczna</w:t>
      </w:r>
    </w:p>
    <w:p>
      <w:pPr>
        <w:keepNext w:val="1"/>
        <w:spacing w:after="10"/>
      </w:pPr>
      <w:r>
        <w:rPr>
          <w:b/>
          <w:bCs/>
        </w:rPr>
        <w:t xml:space="preserve">Grupa przedmiotów: </w:t>
      </w:r>
    </w:p>
    <w:p>
      <w:pPr>
        <w:spacing w:before="20" w:after="190"/>
      </w:pPr>
      <w:r>
        <w:rPr/>
        <w:t xml:space="preserve">Obowiązkowe</w:t>
      </w:r>
    </w:p>
    <w:p>
      <w:pPr>
        <w:keepNext w:val="1"/>
        <w:spacing w:after="10"/>
      </w:pPr>
      <w:r>
        <w:rPr>
          <w:b/>
          <w:bCs/>
        </w:rPr>
        <w:t xml:space="preserve">Kod przedmiotu: </w:t>
      </w:r>
    </w:p>
    <w:p>
      <w:pPr>
        <w:spacing w:before="20" w:after="190"/>
      </w:pPr>
      <w:r>
        <w:rPr/>
        <w:t xml:space="preserve"/>
      </w:r>
    </w:p>
    <w:p>
      <w:pPr>
        <w:keepNext w:val="1"/>
        <w:spacing w:after="10"/>
      </w:pPr>
      <w:r>
        <w:rPr>
          <w:b/>
          <w:bCs/>
        </w:rPr>
        <w:t xml:space="preserve">Semestr nominalny: </w:t>
      </w:r>
    </w:p>
    <w:p>
      <w:pPr>
        <w:spacing w:before="20" w:after="190"/>
      </w:pPr>
      <w:r>
        <w:rPr/>
        <w:t xml:space="preserve">2 / rok ak. 2013/2014</w:t>
      </w:r>
    </w:p>
    <w:p>
      <w:pPr>
        <w:keepNext w:val="1"/>
        <w:spacing w:after="10"/>
      </w:pPr>
      <w:r>
        <w:rPr>
          <w:b/>
          <w:bCs/>
        </w:rPr>
        <w:t xml:space="preserve">Liczba punktów ECTS: </w:t>
      </w:r>
    </w:p>
    <w:p>
      <w:pPr>
        <w:spacing w:before="20" w:after="190"/>
      </w:pPr>
      <w:r>
        <w:rPr/>
        <w:t xml:space="preserve">3</w:t>
      </w:r>
    </w:p>
    <w:p>
      <w:pPr>
        <w:keepNext w:val="1"/>
        <w:spacing w:after="10"/>
      </w:pPr>
      <w:r>
        <w:rPr>
          <w:b/>
          <w:bCs/>
        </w:rPr>
        <w:t xml:space="preserve">Liczba godzin pracy studenta związanych z osiągnięciem efektów uczenia się: </w:t>
      </w:r>
    </w:p>
    <w:p>
      <w:pPr>
        <w:spacing w:before="20" w:after="190"/>
      </w:pPr>
      <w:r>
        <w:rPr/>
        <w:t xml:space="preserve"/>
      </w:r>
    </w:p>
    <w:p>
      <w:pPr>
        <w:keepNext w:val="1"/>
        <w:spacing w:after="10"/>
      </w:pPr>
      <w:r>
        <w:rPr>
          <w:b/>
          <w:bCs/>
        </w:rPr>
        <w:t xml:space="preserve">Liczba punktów ECTS na zajęciach wymagających bezpośredniego udziału nauczycieli akademickich: </w:t>
      </w:r>
    </w:p>
    <w:p>
      <w:pPr>
        <w:spacing w:before="20" w:after="190"/>
      </w:pPr>
      <w:r>
        <w:rPr/>
        <w:t xml:space="preserve"/>
      </w:r>
    </w:p>
    <w:p>
      <w:pPr>
        <w:keepNext w:val="1"/>
        <w:spacing w:after="10"/>
      </w:pPr>
      <w:r>
        <w:rPr>
          <w:b/>
          <w:bCs/>
        </w:rPr>
        <w:t xml:space="preserve">Język prowadzenia zajęć: </w:t>
      </w:r>
    </w:p>
    <w:p>
      <w:pPr>
        <w:spacing w:before="20" w:after="190"/>
      </w:pPr>
      <w:r>
        <w:rPr/>
        <w:t xml:space="preserve">polski</w:t>
      </w:r>
    </w:p>
    <w:p>
      <w:pPr>
        <w:keepNext w:val="1"/>
        <w:spacing w:after="10"/>
      </w:pPr>
      <w:r>
        <w:rPr>
          <w:b/>
          <w:bCs/>
        </w:rPr>
        <w:t xml:space="preserve">Liczba punktów ECTS, którą student uzyskuje w ramach zajęć o charakterze praktycznym: </w:t>
      </w:r>
    </w:p>
    <w:p>
      <w:pPr>
        <w:spacing w:before="20" w:after="190"/>
      </w:pPr>
      <w:r>
        <w:rPr/>
        <w:t xml:space="preserve"/>
      </w:r>
    </w:p>
    <w:p>
      <w:pPr>
        <w:keepNext w:val="1"/>
        <w:spacing w:after="10"/>
      </w:pPr>
      <w:r>
        <w:rPr>
          <w:b/>
          <w:bCs/>
        </w:rPr>
        <w:t xml:space="preserve">Formy zajęć i ich wymiar w semestrze: </w:t>
      </w:r>
    </w:p>
    <w:tbl>
      <w:tblGrid>
        <w:gridCol w:w="2200" w:type="dxa"/>
        <w:gridCol w:w="2200" w:type="dxa"/>
      </w:tblGrid>
      <w:tblPr>
        <w:tblW w:w="2500" w:type="auto"/>
        <w:tblBorders>
          <w:top w:val="single" w:sz="0" w:color="FFFFFF"/>
          <w:left w:val="single" w:sz="0" w:color="FFFFFF"/>
          <w:right w:val="single" w:sz="0" w:color="FFFFFF"/>
          <w:bottom w:val="single" w:sz="0" w:color="FFFFFF"/>
          <w:insideH w:val="single" w:sz="0" w:color="FFFFFF"/>
          <w:insideV w:val="single" w:sz="0" w:color="FFFFFF"/>
        </w:tblBorders>
      </w:tblPr>
      <w:tr>
        <w:trPr>
          <w:trHeight w:val="250" w:hRule="atLeast"/>
        </w:trPr>
        <w:tc>
          <w:tcPr>
            <w:tcW w:w="2200" w:type="dxa"/>
          </w:tcPr>
          <w:p>
            <w:pPr/>
            <w:r>
              <w:rPr/>
              <w:t xml:space="preserve">Wykład: </w:t>
            </w:r>
          </w:p>
        </w:tc>
        <w:tc>
          <w:tcPr>
            <w:tcW w:w="2200" w:type="dxa"/>
          </w:tcPr>
          <w:p>
            <w:pPr/>
            <w:r>
              <w:rPr/>
              <w:t xml:space="preserve">30h</w:t>
            </w:r>
          </w:p>
        </w:tc>
      </w:tr>
      <w:tr>
        <w:trPr>
          <w:trHeight w:val="250" w:hRule="atLeast"/>
        </w:trPr>
        <w:tc>
          <w:tcPr>
            <w:tcW w:w="2200" w:type="dxa"/>
          </w:tcPr>
          <w:p>
            <w:pPr/>
            <w:r>
              <w:rPr/>
              <w:t xml:space="preserve">Ćwiczenia: </w:t>
            </w:r>
          </w:p>
        </w:tc>
        <w:tc>
          <w:tcPr>
            <w:tcW w:w="2200" w:type="dxa"/>
          </w:tcPr>
          <w:p>
            <w:pPr/>
            <w:r>
              <w:rPr/>
              <w:t xml:space="preserve">0h</w:t>
            </w:r>
          </w:p>
        </w:tc>
      </w:tr>
      <w:tr>
        <w:trPr>
          <w:trHeight w:val="250" w:hRule="atLeast"/>
        </w:trPr>
        <w:tc>
          <w:tcPr>
            <w:tcW w:w="2200" w:type="dxa"/>
          </w:tcPr>
          <w:p>
            <w:pPr/>
            <w:r>
              <w:rPr/>
              <w:t xml:space="preserve">Laboratorium: </w:t>
            </w:r>
          </w:p>
        </w:tc>
        <w:tc>
          <w:tcPr>
            <w:tcW w:w="2200" w:type="dxa"/>
          </w:tcPr>
          <w:p>
            <w:pPr/>
            <w:r>
              <w:rPr/>
              <w:t xml:space="preserve">0h</w:t>
            </w:r>
          </w:p>
        </w:tc>
      </w:tr>
      <w:tr>
        <w:trPr>
          <w:trHeight w:val="250" w:hRule="atLeast"/>
        </w:trPr>
        <w:tc>
          <w:tcPr>
            <w:tcW w:w="2200" w:type="dxa"/>
          </w:tcPr>
          <w:p>
            <w:pPr/>
            <w:r>
              <w:rPr/>
              <w:t xml:space="preserve">Projekt: </w:t>
            </w:r>
          </w:p>
        </w:tc>
        <w:tc>
          <w:tcPr>
            <w:tcW w:w="2200" w:type="dxa"/>
          </w:tcPr>
          <w:p>
            <w:pPr/>
            <w:r>
              <w:rPr/>
              <w:t xml:space="preserve">0h</w:t>
            </w:r>
          </w:p>
        </w:tc>
      </w:tr>
      <w:tr>
        <w:trPr>
          <w:trHeight w:val="250" w:hRule="atLeast"/>
        </w:trPr>
        <w:tc>
          <w:tcPr>
            <w:tcW w:w="2200" w:type="dxa"/>
          </w:tcPr>
          <w:p>
            <w:pPr/>
            <w:r>
              <w:rPr/>
              <w:t xml:space="preserve">Lekcje komputerowe: </w:t>
            </w:r>
          </w:p>
        </w:tc>
        <w:tc>
          <w:tcPr>
            <w:tcW w:w="2200" w:type="dxa"/>
          </w:tcPr>
          <w:p>
            <w:pPr/>
            <w:r>
              <w:rPr/>
              <w:t xml:space="preserve">0h</w:t>
            </w:r>
          </w:p>
        </w:tc>
      </w:tr>
    </w:tbl>
    <w:p/>
    <w:p>
      <w:pPr>
        <w:keepNext w:val="1"/>
        <w:spacing w:after="10"/>
      </w:pPr>
      <w:r>
        <w:rPr>
          <w:b/>
          <w:bCs/>
        </w:rPr>
        <w:t xml:space="preserve">Wymagania wstępne: </w:t>
      </w:r>
    </w:p>
    <w:p>
      <w:pPr>
        <w:spacing w:before="20" w:after="190"/>
      </w:pPr>
      <w:r>
        <w:rPr/>
        <w:t xml:space="preserve">Wstęp do fizyki jądrowej, Dozymetria, Metody i Techniki Jądrowe</w:t>
      </w:r>
    </w:p>
    <w:p>
      <w:pPr>
        <w:keepNext w:val="1"/>
        <w:spacing w:after="10"/>
      </w:pPr>
      <w:r>
        <w:rPr>
          <w:b/>
          <w:bCs/>
        </w:rPr>
        <w:t xml:space="preserve">Limit liczby studentów: </w:t>
      </w:r>
    </w:p>
    <w:p>
      <w:pPr>
        <w:spacing w:before="20" w:after="190"/>
      </w:pPr>
      <w:r>
        <w:rPr/>
        <w:t xml:space="preserve"/>
      </w:r>
    </w:p>
    <w:p>
      <w:pPr>
        <w:keepNext w:val="1"/>
        <w:spacing w:after="10"/>
      </w:pPr>
      <w:r>
        <w:rPr>
          <w:b/>
          <w:bCs/>
        </w:rPr>
        <w:t xml:space="preserve">Cel przedmiotu: </w:t>
      </w:r>
    </w:p>
    <w:p>
      <w:pPr>
        <w:spacing w:before="20" w:after="190"/>
      </w:pPr>
      <w:r>
        <w:rPr/>
        <w:t xml:space="preserve">Wykład jest skierowany do nie-specjalistów, którzy chcą zastosować techniki detekcji promieniowania jonizującego w swoich dziedzinach i potrzebują podstawowej skondensowanej wiedzy. Tym samym, wykład ten będzie dobrym wprowadzeniem dla studentów przed specjalizacją i w pierwszym roku tych specjalizacji, w których metody jądrowe i detektory promieniowania są narzędziem pracy. Do tych specjalizacji należą: fizyka jądrowa wysokich i niskich energii, fizyka cząstek elementarnych i promieni kosmicznych, jak również wiele działów w fizyce stosowanej (w zastosowaniach medycznych, dozymetrii, ochronie radiologicznej, chemii nuklearnej, w badaniach geologicznych).</w:t>
      </w:r>
    </w:p>
    <w:p>
      <w:pPr>
        <w:keepNext w:val="1"/>
        <w:spacing w:after="10"/>
      </w:pPr>
      <w:r>
        <w:rPr>
          <w:b/>
          <w:bCs/>
        </w:rPr>
        <w:t xml:space="preserve">Treści kształcenia: </w:t>
      </w:r>
    </w:p>
    <w:p>
      <w:pPr>
        <w:spacing w:before="20" w:after="190"/>
      </w:pPr>
      <w:r>
        <w:rPr/>
        <w:t xml:space="preserve">Podsumowanie podstawowych zjawisk zachodzących przy przejściu cząstek przez materię, które mogą być wykorzystane przy detekcji promieniowania jonizującego; zasady opracowywania danych z detektora (efektywność detekcji, zdolności rozdzielcze, kalibracja, promieniowanie tła, szumy aparatury, zniszczenia radiacyjne). 
Omówienie podstawowych technik detekcji promieniowania jonizującego: scyntylatory, komory jonizujące, detektory półprzewodnikowe i promieniowania Czerenkowa, detektory śladowe ciała stałego (emulsje jądrowe, miki, plastiki, szkła), dozymetry (m. in. termoluminescencyjne) oraz komory pęcherzykowe, detektory przegrzanych kropel, detektory z granulek nadprzewodzących oraz technik detekcji jak folie aktywowane. 
Projektowanie eksperymentów, współpraca różnego typu detektorów i związane z tym problemy. 
</w:t>
      </w:r>
    </w:p>
    <w:p>
      <w:pPr>
        <w:keepNext w:val="1"/>
        <w:spacing w:after="10"/>
      </w:pPr>
      <w:r>
        <w:rPr>
          <w:b/>
          <w:bCs/>
        </w:rPr>
        <w:t xml:space="preserve">Metody oceny: </w:t>
      </w:r>
    </w:p>
    <w:p>
      <w:pPr>
        <w:spacing w:before="20" w:after="190"/>
      </w:pPr>
      <w:r>
        <w:rPr/>
        <w:t xml:space="preserve">Egzamin ustny, referat</w:t>
      </w:r>
    </w:p>
    <w:p>
      <w:pPr>
        <w:keepNext w:val="1"/>
        <w:spacing w:after="10"/>
      </w:pPr>
      <w:r>
        <w:rPr>
          <w:b/>
          <w:bCs/>
        </w:rPr>
        <w:t xml:space="preserve">Egzamin: </w:t>
      </w:r>
    </w:p>
    <w:p>
      <w:pPr>
        <w:spacing w:before="20" w:after="190"/>
      </w:pPr>
      <w:r>
        <w:rPr/>
        <w:t xml:space="preserve"/>
      </w:r>
    </w:p>
    <w:p>
      <w:pPr>
        <w:keepNext w:val="1"/>
        <w:spacing w:after="10"/>
      </w:pPr>
      <w:r>
        <w:rPr>
          <w:b/>
          <w:bCs/>
        </w:rPr>
        <w:t xml:space="preserve">Literatura: </w:t>
      </w:r>
    </w:p>
    <w:p>
      <w:pPr>
        <w:spacing w:before="20" w:after="190"/>
      </w:pPr>
      <w:r>
        <w:rPr/>
        <w:t xml:space="preserve">W.R. Leo, Techniques for Nuclear and Particle Physics Experiments.
C.F.G. Delaney, E.C. Finch, Radiation Detectors.
A. Breskin, R.Voss, The CERN Large Hadron Collider: Accelerators and Experiments 
</w:t>
      </w:r>
    </w:p>
    <w:p>
      <w:pPr>
        <w:keepNext w:val="1"/>
        <w:spacing w:after="10"/>
      </w:pPr>
      <w:r>
        <w:rPr>
          <w:b/>
          <w:bCs/>
        </w:rPr>
        <w:t xml:space="preserve">Witryna www przedmiotu: </w:t>
      </w:r>
    </w:p>
    <w:p>
      <w:pPr>
        <w:spacing w:before="20" w:after="190"/>
      </w:pPr>
      <w:r>
        <w:rPr/>
        <w:t xml:space="preserve"/>
      </w:r>
    </w:p>
    <w:p>
      <w:pPr>
        <w:keepNext w:val="1"/>
        <w:spacing w:after="10"/>
      </w:pPr>
      <w:r>
        <w:rPr>
          <w:b/>
          <w:bCs/>
        </w:rPr>
        <w:t xml:space="preserve">Uwagi: </w:t>
      </w:r>
    </w:p>
    <w:p>
      <w:pPr>
        <w:spacing w:before="20" w:after="190"/>
      </w:pPr>
      <w:r>
        <w:rPr/>
        <w:t xml:space="preserve"/>
      </w:r>
    </w:p>
    <w:p>
      <w:pPr>
        <w:pStyle w:val="Heading2"/>
      </w:pPr>
      <w:bookmarkStart w:id="1" w:name="_Toc1"/>
      <w:r>
        <w:t>Efekty przedmiotowe</w:t>
      </w:r>
      <w:bookmarkEnd w:id="1"/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2">
    <w:link w:val="Heading2Char"/>
    <w:name w:val="heading 2"/>
    <w:basedOn w:val="Normal"/>
    <w:pPr>
      <w:spacing w:before="40" w:after="190"/>
    </w:pPr>
    <w:rPr>
      <w:sz w:val="34"/>
      <w:szCs w:val="34"/>
      <w:b/>
      <w:bCs/>
    </w:rPr>
  </w:style>
  <w:style w:type="paragraph" w:styleId="Heading3">
    <w:link w:val="Heading3Char"/>
    <w:name w:val="heading 3"/>
    <w:basedOn w:val="Normal"/>
    <w:pPr>
      <w:spacing w:before="40" w:after="190"/>
    </w:pPr>
    <w:rPr>
      <w:sz w:val="26"/>
      <w:szCs w:val="26"/>
      <w:b/>
      <w:bCs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2026-09-12T12:03:37+02:00</dcterms:created>
  <dcterms:modified xsi:type="dcterms:W3CDTF">2026-09-12T12:03:37+02:00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