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Problemowe-ekspertyza materiałowa II/ Material Expertise Seminar II</w:t>
      </w:r>
    </w:p>
    <w:p>
      <w:pPr>
        <w:keepNext w:val="1"/>
        <w:spacing w:after="10"/>
      </w:pPr>
      <w:r>
        <w:rPr>
          <w:b/>
          <w:bCs/>
        </w:rPr>
        <w:t xml:space="preserve">Koordynator przedmiotu: </w:t>
      </w:r>
    </w:p>
    <w:p>
      <w:pPr>
        <w:spacing w:before="20" w:after="190"/>
      </w:pPr>
      <w:r>
        <w:rPr/>
        <w:t xml:space="preserve">prof dr hab.inż.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SP-EM-I-2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Ćwiczenia projektowe 30 godzin; wykonanie dwóch ekspertyz w semestrze 45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30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30 godzin; wykonanie dwóch ekspertyz w semestrze 45 godzin. Razem 75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zaliczenie Podstaw Nauki o Materiałach, Mechaniki, Wytrzymałości Konstrukcji, Metod Badań Materiałów, Materiałów Metalicznych i Metalurgii
</w:t>
      </w:r>
    </w:p>
    <w:p>
      <w:pPr>
        <w:keepNext w:val="1"/>
        <w:spacing w:after="10"/>
      </w:pPr>
      <w:r>
        <w:rPr>
          <w:b/>
          <w:bCs/>
        </w:rPr>
        <w:t xml:space="preserve">Limit liczby studentów: </w:t>
      </w:r>
    </w:p>
    <w:p>
      <w:pPr>
        <w:spacing w:before="20" w:after="190"/>
      </w:pPr>
      <w:r>
        <w:rPr/>
        <w:t xml:space="preserve">10-15</w:t>
      </w:r>
    </w:p>
    <w:p>
      <w:pPr>
        <w:keepNext w:val="1"/>
        <w:spacing w:after="10"/>
      </w:pPr>
      <w:r>
        <w:rPr>
          <w:b/>
          <w:bCs/>
        </w:rPr>
        <w:t xml:space="preserve">Cel przedmiotu: </w:t>
      </w:r>
    </w:p>
    <w:p>
      <w:pPr>
        <w:spacing w:before="20" w:after="190"/>
      </w:pPr>
      <w:r>
        <w:rPr/>
        <w:t xml:space="preserve">Zaprezentowanie studentom problematyki ekspertyz materiałowych, metod racjonalnego postępowania, podstawowych technik badawczych, nauczenie samodzielnego przygotowania próbek do badań strukturalnych oraz wykonania samych badań, przedstawienie przykładowych ekspertyz materiałowych oraz metod interpretacji uzyskanych wyników, nauka publicznej prezentacji wyników zadań indywidualnych.</w:t>
      </w:r>
    </w:p>
    <w:p>
      <w:pPr>
        <w:keepNext w:val="1"/>
        <w:spacing w:after="10"/>
      </w:pPr>
      <w:r>
        <w:rPr>
          <w:b/>
          <w:bCs/>
        </w:rPr>
        <w:t xml:space="preserve">Treści kształcenia: </w:t>
      </w:r>
    </w:p>
    <w:p>
      <w:pPr>
        <w:spacing w:before="20" w:after="190"/>
      </w:pPr>
      <w:r>
        <w:rPr/>
        <w:t xml:space="preserve">Cele ekspertyzy materiałowej, sposoby interpretacji i prezentacji wyników badań materiałowych, samodzielne wykonanie ekspertyzy poświęconej detalowi wykonanemu ze stopów metali nieżelaznych, publiczna prezentacja postawionego problemu indywidualnego, sposobów rozwiązania, wyników oraz wniosków.</w:t>
      </w:r>
    </w:p>
    <w:p>
      <w:pPr>
        <w:keepNext w:val="1"/>
        <w:spacing w:after="10"/>
      </w:pPr>
      <w:r>
        <w:rPr>
          <w:b/>
          <w:bCs/>
        </w:rPr>
        <w:t xml:space="preserve">Metody oceny: </w:t>
      </w:r>
    </w:p>
    <w:p>
      <w:pPr>
        <w:spacing w:before="20" w:after="190"/>
      </w:pPr>
      <w:r>
        <w:rPr/>
        <w:t xml:space="preserve">Oceniana jest poprawność zaproponowania zestawu badań zmierzających do ustalenia przyczyn zniszczenia, umiejętność analizy i wyciągania wniosków z uzyskanych wyników badań oraz jasność ich prezentowania (do zdobycia max. 15p.) 
Elementem oceny jest ponadto przygotowanie merytoryczne niezbędne do poprawnej analizy postawionego problemu (weryfikowane poprzez przeprowadzenie kartkówki – ocenianej od 0 do 9p.)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Indywidualnie dobierana do treści wydanych zadań</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SPWMII_1: </w:t>
      </w:r>
    </w:p>
    <w:p>
      <w:pPr/>
      <w:r>
        <w:rPr/>
        <w:t xml:space="preserve">Posiada wiedzę z zakresu ekspertyz detali wykonanych ze stopów metali nieżelaznych</w:t>
      </w:r>
    </w:p>
    <w:p>
      <w:pPr>
        <w:spacing w:before="60"/>
      </w:pPr>
      <w:r>
        <w:rPr/>
        <w:t xml:space="preserve">Weryfikacja: </w:t>
      </w:r>
    </w:p>
    <w:p>
      <w:pPr>
        <w:spacing w:before="20" w:after="190"/>
      </w:pPr>
      <w:r>
        <w:rPr/>
        <w:t xml:space="preserve">kartkówka</w:t>
      </w:r>
    </w:p>
    <w:p>
      <w:pPr>
        <w:spacing w:before="20" w:after="190"/>
      </w:pPr>
      <w:r>
        <w:rPr>
          <w:b/>
          <w:bCs/>
        </w:rPr>
        <w:t xml:space="preserve">Powiązane efekty kierunkowe: </w:t>
      </w:r>
      <w:r>
        <w:rPr/>
        <w:t xml:space="preserve">IM_W06, IM_W11, IM_W13</w:t>
      </w:r>
    </w:p>
    <w:p>
      <w:pPr>
        <w:spacing w:before="20" w:after="190"/>
      </w:pPr>
      <w:r>
        <w:rPr>
          <w:b/>
          <w:bCs/>
        </w:rPr>
        <w:t xml:space="preserve">Powiązane efekty obszarowe: </w:t>
      </w:r>
      <w:r>
        <w:rPr/>
        <w:t xml:space="preserve">T1A_W04, T1A_W05, T1A_W07</w:t>
      </w:r>
    </w:p>
    <w:p>
      <w:pPr>
        <w:pStyle w:val="Heading3"/>
      </w:pPr>
      <w:bookmarkStart w:id="3" w:name="_Toc3"/>
      <w:r>
        <w:t>Profil ogólnoakademicki - umiejętności</w:t>
      </w:r>
      <w:bookmarkEnd w:id="3"/>
    </w:p>
    <w:p>
      <w:pPr>
        <w:keepNext w:val="1"/>
        <w:spacing w:after="10"/>
      </w:pPr>
      <w:r>
        <w:rPr>
          <w:b/>
          <w:bCs/>
        </w:rPr>
        <w:t xml:space="preserve">Efekt SPWMII_U1: </w:t>
      </w:r>
    </w:p>
    <w:p>
      <w:pPr/>
      <w:r>
        <w:rPr/>
        <w:t xml:space="preserve">Posiada umiejętność analizy i wyciągania wniosków z uzyskanych wyników badań oraz jasność ich prezentowania</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IM_U07, IM_U08, IM_U09</w:t>
      </w:r>
    </w:p>
    <w:p>
      <w:pPr>
        <w:spacing w:before="20" w:after="190"/>
      </w:pPr>
      <w:r>
        <w:rPr>
          <w:b/>
          <w:bCs/>
        </w:rPr>
        <w:t xml:space="preserve">Powiązane efekty obszarowe: </w:t>
      </w:r>
      <w:r>
        <w:rPr/>
        <w:t xml:space="preserve">T1A_U07, T1A_U08, T1A_U09, T1A_U08, T1A_U09</w:t>
      </w:r>
    </w:p>
    <w:p>
      <w:pPr>
        <w:keepNext w:val="1"/>
        <w:spacing w:after="10"/>
      </w:pPr>
      <w:r>
        <w:rPr>
          <w:b/>
          <w:bCs/>
        </w:rPr>
        <w:t xml:space="preserve">Efekt SPWMII_U2: </w:t>
      </w:r>
    </w:p>
    <w:p>
      <w:pPr/>
      <w:r>
        <w:rPr/>
        <w:t xml:space="preserve">Posiada umiejętyność samodzielnego przygotowania próbek do badań strukturalnych oraz wykonania samych badań</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IM_U09, IM_U15</w:t>
      </w:r>
    </w:p>
    <w:p>
      <w:pPr>
        <w:spacing w:before="20" w:after="190"/>
      </w:pPr>
      <w:r>
        <w:rPr>
          <w:b/>
          <w:bCs/>
        </w:rPr>
        <w:t xml:space="preserve">Powiązane efekty obszarowe: </w:t>
      </w:r>
      <w:r>
        <w:rPr/>
        <w:t xml:space="preserve">T1A_U08, T1A_U09,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2024-05-18T17:03:51+02:00</dcterms:created>
  <dcterms:modified xsi:type="dcterms:W3CDTF">2024-05-18T17:03:51+02:00</dcterms:modified>
</cp:coreProperties>
</file>

<file path=docProps/custom.xml><?xml version="1.0" encoding="utf-8"?>
<Properties xmlns="http://schemas.openxmlformats.org/officeDocument/2006/custom-properties" xmlns:vt="http://schemas.openxmlformats.org/officeDocument/2006/docPropsVTypes"/>
</file>