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laboratorium/ Chemistry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inż. Anna Krztoń-Maziopa, 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WIM-CHL-2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liczba godzin pracy studenta: 145, obejmuje:
1)	godziny kontaktowe – 60 godzin laboratoriów,
2)	 zapoznanie się ze wskazaną literaturą – 15godzin;
3)	przygotowanie się do sprawdzianów/kolokwium – 30 godzin;
4)	przygotowanie się do wykonania części doświadczalnej, opracowanie sprawozdań z laboratoriów – 40 godzin.
Razem nakład pracy studenta: 60h + 15h + 30h + 20h = 145.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laboratoriach –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punkty ECTS- Ogółem liczba godzin pracy studenta: 100 godzin, obejmuje:
1)	udział w laboratoriach -  60 godzin,
2)	przygotowanie się do wykonania części doświadczalnej, opracowanie sprawozdań z laboratoriów –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przedmiot: Chemia 1 (wykład + 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podstawowych zagadnień chemii nieorganicznej, w tym: równowag ustalających się w roztworze wodnym (w reakcjach kwasowo-zasadowych, kompleksowania, utleniania-redukcji, hydrolizy oraz w układzie sól trudnorozpuszczalna-roztwór), metod pomiaru pH, przewodnictwa elektrolitycznego oraz siły elektromotorycznej ogniw galwanicznych;
• posiadać wiedzę z zakresu syntezy związków nieorganicznych oraz badania własności chemicznych drobin trwałych w roztworze wodnym oraz w fazie stałej, umieć wykorzystać poznane własności w analizie jakościowej kationów i anionów oraz w analizie zanieczyszczeń wody;
• znać reguły bezpiecznej pracy w laboratorium chemicznym oraz nabyć biegłości w posługiwaniu się podstawowym sprzętem laboratoryjnym;
• posiadać umiejętność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następujące treści merytoryczne z zakresu chemii ogólnej i nieorganicznej:
• Równowagi jonowe w roztworach wodnych; dysocjacja elektrolityczna elektrolitów mocnych i słabych w reakcjach zobojętnienia; wpływ stężenia słabego elektrolitu na stopień dysocjacji. (4h)
• Właściwości roztworów buforowych; wpływ rozcieńczenia buforu na pH; hydroliza drobin w roztworach wodnych oraz wpływ różnych czynników na hydrolizę. (4h)
• Równowagi w reakcjach kompleksowania; otrzymywanie oraz trwałość związków kompleksowych; badanie właściwości kompleksotwórczych kationów oraz zdolności kompleksujących różnych ligandów. (4h)
• Iiloczyn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 (4h)
• Równowagi w reakcjach utelniania-redukcji; potencjał układów red-ox; ogniwa galwaniczne. (4h)
• Równowagi w reakcjach kwasowo-zasadowych; wyznaczanie krzywych miareczkowania kwasów. (4h)
• Zapoznanie się ze spektralną analizą emisyjną na przykładzie badania związków litowców i berylowców; synteza związków nieorganicznych; wpływ właściwości chemicznych drobin na przebieg reakcji rozkładu termicznego. (4h)
• Właściwości wybranych kationów - poznanie właściwości kwasowo-zasadowych oraz red-ox kationów; poznanie podstaw systematycznej analizy jakościowej kationów. (8h)
• Właściwości anionów I i II okresu rdzeniowego; poznanie właściwości red-ox oraz kwasowo-zasadowych. (8h)
•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 (4h)
• Analiza zanieczyszczeń wody – ocena jakości wody; metody analizy zanieczyszczeń wody; metody oczyszczania i uzdatniania wody. (4h)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(sprawdziany oraz sprawozdania); ocena zdobytych umiejętności eksperymentatorskich; kolokwium podsumowujące.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Laboratorium chemii ogólnej i nieorganicznej, Wydział Chemiczny PW, Warszawa 2000.
2. K. Juszczyk, J. Nieniewska, Ćwiczenia rachunkowe z chemii ogólnej, Wydawnictwo Politechniki Warszawskiej, 1996.
3. Praca zbiorowa, Podstawy chemii w inżynierii materiałowej - Laboratorium, Oficyna Wydawnicza PW, Warszawa 2004.
4. J. Minczewski, Z. Marczenko, Chemia analityczna, Wyd. Naukowe PWN, Warszawa 2001.
5. A. Hulanicki, Reakcje kwasów i zasad w chemii analitycznej,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http://www.ch.pw.edu.pl/~aostrowski/Lab-Chemia/index.html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	ChL_W02: </w:t>
      </w:r>
    </w:p>
    <w:p>
      <w:pPr/>
      <w:r>
        <w:rPr/>
        <w:t xml:space="preserve">	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ChL_U01: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ChL_U02: </w:t>
      </w:r>
    </w:p>
    <w:p>
      <w:pPr/>
      <w:r>
        <w:rPr/>
        <w:t xml:space="preserve">	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ChL_U03: </w:t>
      </w:r>
    </w:p>
    <w:p>
      <w:pPr/>
      <w:r>
        <w:rPr/>
        <w:t xml:space="preserve">W trakcie wykonywania doświadczeń stosuje zasady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ChL_U04: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chemii nieorganicznej.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ChL_K01: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samodzielnie;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2024-05-18T18:40:11+02:00</dcterms:created>
  <dcterms:modified xsi:type="dcterms:W3CDTF">2024-05-18T18:40:11+02:00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