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PRWYD_W1: </w:t>
      </w:r>
    </w:p>
    <w:p>
      <w:pPr/>
      <w:r>
        <w:rPr/>
        <w:t xml:space="preserve">							Wiedza w zakresie zasad projektowania wydawnictw elektronicznych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keepNext w:val="1"/>
        <w:spacing w:after="10"/>
      </w:pPr>
      <w:r>
        <w:rPr>
          <w:b/>
          <w:bCs/>
        </w:rPr>
        <w:t xml:space="preserve">Efekt PRWYD_W2: </w:t>
      </w:r>
    </w:p>
    <w:p>
      <w:pPr/>
      <w:r>
        <w:rPr/>
        <w:t xml:space="preserve">							Zna i rozumie podstawowe pojęcia i zasady z zakresu prawa autorskiego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PRWYD_K1: </w:t>
      </w:r>
    </w:p>
    <w:p>
      <w:pPr/>
      <w:r>
        <w:rPr/>
        <w:t xml:space="preserve">							Rozumie wpływ doboru parametrów układu typograficznego na czytelność i estetykę publikacji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2026-07-12T01:54:53+02:00</dcterms:created>
  <dcterms:modified xsi:type="dcterms:W3CDTF">2026-07-12T01:54:53+02:00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