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 estetyka druku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Frankowski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IP-IZP-GRAED-6-13Z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150. Obejmuje:
1) Zajęcia kontaktowe z nauczycielem:
obecność na wykładach: 20 godz.; obecność na zajęciach projektowych: 20 godz.; konsultacje: 10 godz. Razem: 50 godz.
2) Zajęcia bez kontaktu z nauczycielem (Praca własna studenta) :
1. Przygotowanie do zajęć projektowych: 20 godz.;
2. Przygotowanie się do wykładów: 20 godz.;
3. Wykonanie projektów: 45 godz.;
4. Przygotowanie się do zaliczenia: 15 godz.;
Razem: 100 godz..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prowadzonych zajęć studenci zapoznają się z podstawowymi zasadami typografii, projektowania graficznego i tworzenia estetycznych, funkcjonalnych publikacji. Studenci uzyskają wiedzę z zakresu podstaw typografii, budowy, projektowania i klasyfikacji pism drukarskich, projektowania logo i innych elementów identyfikacji wizualnej. W ramach ćwiczeń poznają anatomię liter, nauczą się rozpoznawać pisma drukarskie, zaznajomią się z podstawowymi zasadami typografii, projektowania książek, gazet, znaków firmowych i reklamy  prasowej.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2h – Anatomia litery
2h – Klasyfikacja i rozpoznawanie pism drukarskich
2h – Relacja: słowo – wiersz – kolumna.
2h – „Nowa typografia“ w XX wieku
2h – Polska typografia klasyczna i awangardowa
2h – Tożsamość firmy (Corporate Identity) i identyfikacja wizualna
2h – Zasady projektowania logo
2h – Działanie i budowa reklamy prasowej
ĆWICZENIA:
1h – Projekt własnego alfabetu
2h – Klasyfikacja i rozpoznawanie pism drukarskich
2h – Projekt pisma ozdobnego
2h – Ćwiczenie: Odległości międzyliterowe i międzywyrazowe
2h – Ćwiczenie: Kontrast w typografii
2h – Ćwiczenie: Balans w typografii
3h – Projekt znaku firmowego (logo)
2h – Projekt papieru firmowego.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wyliczana jest jako średnia arytmetyczna ocen z kolokwium zaliczeniowego z wykładu i zajęć lab., przy czym jeżeli ta średnia wynosi 3,00 to oceną końcową jest 3,0 i kolejno: 3,25 - 3,5; 3,50 - 3,5; 3,75 – 4,0;
4,00 – 4,0; 4,25 – 4,5; 4,50 – 4,5; 4,75 – 5,0; 5,00 – 5,0.
Warunkiem zaliczenia przedmiotu jest pozytywny wynik kolokwium zaliczeniowego z wykładu i uzyskanie zaliczenia zajęć lab.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Hochuli, Detal w typografii, d2d.pl, Kraków 2009.
2.	J. Felici, Kompletny przewodnik po typografii, Wyd. Słowo/obraz terytoria 2007.
3.	Frutiger, Człowiek i jego znaki, Wydawnictwo Do 2003.
4.	W. Olins, O marce, Warszawa 2004.
5.	R. Bringhurst, Elementarz stylu w typografii, Design Plus, Kraków 2007.
6.	Tomaszewski, Leksykon pism drukarskich, Warszawa 1996.
7.	H. P. Willberg, F. Forsmann, Pierwsza pomoc w typografii, Wyd. Słowo/obraz terytoria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GRAED_W1: </w:t>
      </w:r>
    </w:p>
    <w:p>
      <w:pPr/>
      <w:r>
        <w:rPr/>
        <w:t xml:space="preserve">Wiedza z zakresu projektowania krojów pism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wykładu, realizacja projektów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GRAED_U1: </w:t>
      </w:r>
    </w:p>
    <w:p>
      <w:pPr/>
      <w:r>
        <w:rPr/>
        <w:t xml:space="preserve">							Umiejętność wpływu budowy znaków drukarskich oraz parametrów układu typograficznego na czytelność i estetykę publikacji poligraficznych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GRAED_U2: </w:t>
      </w:r>
    </w:p>
    <w:p>
      <w:pPr/>
      <w:r>
        <w:rPr/>
        <w:t xml:space="preserve">							Umiejętność dotycząca projektowania za pomocą odpowiednich programów komputerowych oraz wykonania projektu graficznego publikacji elektronicznych oraz różnych rodzajów produktów poligraficznych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GRAED_U3: </w:t>
      </w:r>
    </w:p>
    <w:p>
      <w:pPr/>
      <w:r>
        <w:rPr/>
        <w:t xml:space="preserve">							Potrafi pozyskiwać informacje z literatury oraz innych właściwie dobranych źródeł, także w języku obcym; potrafi integrować uzyskane informacje, dokonywać ich interpretacji, a także wyciągać wnioski oraz formułować i uzasadniać opinie dotyczące budowania obrazu graficznego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GRAED_K1: </w:t>
      </w:r>
    </w:p>
    <w:p>
      <w:pPr/>
      <w:r>
        <w:rPr/>
        <w:t xml:space="preserve">							Ma świadomość ważności i rozumie pozatechniczne aspekty w dziedzinie estetyki i sztuki projektowania grafiki użytkowej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2024-05-18T07:41:11+02:00</dcterms:created>
  <dcterms:modified xsi:type="dcterms:W3CDTF">2024-05-18T07:41:11+02:00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