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obecność na wykładach: 20 godz.; obecność na zajęciach projektowych: 20 godz.; konsultacje: 10 godz. Razem: 50 godz.
2) Zajęcia bez kontaktu z nauczycielem (Praca własna studenta) :
1. Przygotowanie do zajęć projektowych: 20 godz.;
2. Przygotowanie się do wykładów: 20 godz.;
3. Wykonanie projektów: 45 godz.;
4. Przygotowanie się do zaliczenia: 15 godz.;
Razem: 100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Anatomia litery
2h – Klasyfikacja i rozpoznawanie pism drukarskich
2h – Relacja: słowo – wiersz – kolumna.
2h – „Nowa typografia“ w XX wieku
2h – Polska typografia klasyczna i awangardowa
2h – Tożsamość firmy (Corporate Identity) i identyfikacja wizualna
2h – Zasady projektowania logo
2h – Działanie i budowa reklamy prasowej
ĆWICZENIA:
1h – Projekt własnego alfabetu
2h – Klasyfikacja i rozpoznawanie pism drukarskich
2h – Projekt pisma ozdobnego
2h – Ćwiczenie: Odległości międzyliterowe i międzywyrazowe
2h – Ćwiczenie: Kontrast w typografii
2h – Ćwiczenie: Balans w typografii
3h – Projekt znaku firmowego (logo)
2h – Projekt papieru firmowego.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
4,00 – 4,0; 4,25 – 4,5; 4,50 – 4,5; 4,75 – 5,0; 5,00 – 5,0.
Warunkiem zaliczenia przedmiotu jest pozytywny wynik kolokwium zaliczeniowego z wykładu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Wiedza z zakresu projektowania krojów pism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							Umiejętność wpływu budowy znaków drukarskich oraz parametrów układu typograficznego na czytelność i estetykę publikacji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							Umiejętność dotycząca projektowania za pomocą odpowiednich programów komputerowych oraz wykonania projektu graficznego publikacji elektronicznych oraz różnych rodzajów produktów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GRAED_U3: </w:t>
      </w:r>
    </w:p>
    <w:p>
      <w:pPr/>
      <w:r>
        <w:rPr/>
        <w:t xml:space="preserve">							Potrafi pozyskiwać informacje z literatury oraz innych właściwie dobranych źródeł, także w języku obcym; potrafi integrować uzyskane informacje, dokonywać ich interpretacji, a także wyciągać wnioski oraz formułować i uzasadniać opinie dotyczące budowania obrazu graficznego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							Ma świadomość ważności i rozumie pozatechniczne aspekty w dziedzinie estetyki i sztuki projektowania grafiki użytkowej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2026-01-15T14:06:54+01:00</dcterms:created>
  <dcterms:modified xsi:type="dcterms:W3CDTF">2026-01-15T14:06:54+01:00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