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75 godz., w tym obecność na wykładach - 28 godz, udział w laboratoriach - 14 godz., 33 godz. - samodzielna praca studenta - przygotowanie się do laboratoriów, opracowanie sprawozdań z przeprowadzonych doświadczeń, przygotowanie się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- 28 godz,  laboratoriów – 14. Łącznie 42 godziny – 1,7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- 14 godz., 33 godz. - samodzielna praca studenta - przygotowanie się do laboratoriów, opracowanie sprawozdań z przeprowadzonych doświadczeń, przygotowanie się do kolokwium. Łącznie 47 godziny – 1,9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EE7_W01: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EE7_U04: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EE7_U01: </w:t>
      </w:r>
    </w:p>
    <w:p>
      <w:pPr/>
      <w:r>
        <w:rPr/>
        <w:t xml:space="preserve">Umie konstruować obwody elektryczne i projektować napędy elektryczne.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EE7_U02: </w:t>
      </w:r>
    </w:p>
    <w:p>
      <w:pPr/>
      <w:r>
        <w:rPr/>
        <w:t xml:space="preserve">Potrafi zastosować metody pomiarowe i symulacje obwodów elektrycznych i elektronicznych.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EE7_U03: </w:t>
      </w:r>
    </w:p>
    <w:p>
      <w:pPr/>
      <w:r>
        <w:rPr/>
        <w:t xml:space="preserve">Potrafi dobrać materiał na zastosowania w elektrotechnice i elektronice.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2026-04-16T07:10:32+02:00</dcterms:created>
  <dcterms:modified xsi:type="dcterms:W3CDTF">2026-04-16T07:10:32+02:00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