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w:t>
      </w:r>
    </w:p>
    <w:p>
      <w:pPr>
        <w:keepNext w:val="1"/>
        <w:spacing w:after="10"/>
      </w:pPr>
      <w:r>
        <w:rPr>
          <w:b/>
          <w:bCs/>
        </w:rPr>
        <w:t xml:space="preserve">Koordynator przedmiotu: </w:t>
      </w:r>
    </w:p>
    <w:p>
      <w:pPr>
        <w:spacing w:before="20" w:after="190"/>
      </w:pPr>
      <w:r>
        <w:rPr/>
        <w:t xml:space="preserve">prof. /dr hab./ inż./ Barbara Pacewska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- 30h, przygotowanie do egzaminu - 45h; Razem - 75h; Laboratoria: liczba godzin według planu studiów - 75, przygotowanie do zajęć - 15, zapoznanie ze wskazaną literaturą - 15, napisanie sprawozadania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- 75; Razem - 105h = 4,2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właściwości samych pierwiastków chemicznych bloków sp i spd oraz ich związków.
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(W1-W15) Właściwości wybranych pierwiastków głównych i ich związków chemicznych ze szczególnym uwzględnieniem połączeń tlenowych. Właściwości chemiczne wybranych pierwiastków dodatkowych i ich związków chemicznych ze szczególnym uwzględnieniem połączeń tlenowych.  
(L1)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Na ocenę końcową składa się ocena z egzaminu pisemnego  oraz ocena z ćwiczeń laboratoryjnych. 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egzamin pisemny (W1-W15), 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Posiada wiedzę w zakresie właściwości fizykochemicznych podstawowych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w zakresie niektórych zastosowań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typowe metody otrzymywania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U14_01: </w:t>
      </w:r>
    </w:p>
    <w:p>
      <w:pPr/>
      <w:r>
        <w:rPr/>
        <w:t xml:space="preserve">Potrafi podać właściwości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2026-07-28T23:41:21+02:00</dcterms:created>
  <dcterms:modified xsi:type="dcterms:W3CDTF">2026-07-28T23:41:21+02:00</dcterms:modified>
</cp:coreProperties>
</file>

<file path=docProps/custom.xml><?xml version="1.0" encoding="utf-8"?>
<Properties xmlns="http://schemas.openxmlformats.org/officeDocument/2006/custom-properties" xmlns:vt="http://schemas.openxmlformats.org/officeDocument/2006/docPropsVTypes"/>
</file>