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Metody otrzymywania dodatków do paliw i środków samrowych</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właściwości nowoczesnych dodatków do środków smarnych i paliw oraz metod ich otrzymywania.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Synteza dialkilo- i diaryloditiofosforanów cynku. Otrzymywanie dialkiloditiokarbaminianów cynku. W  2: Synteza alkilofenoli z zawadą przestrzenną. Otrzymywanie detergentów – alkilobenzenosulfonianów, fenolanów i salicylanów metali alkalicznych. Detergenty z rezerwą alkaliczną. W  3: Synteza dyspergatorów – pochodnych bezwodnika kwasu bursztynowego. W  4: Otrzymywanie modyfikatorów lepkości – poliizobutylenów, polimetakrylanów, kopolimerów butadienowo-styrenowych. W  5: Otrzymywanie dodatków przeciwpiennych. Otrzymywanie dodatków biobójczych. W  6: Otrzymywanie dodatków przeciwzużyciowych i przeciwzatarciowych. W  7: Synteza inhibitorów korozji i dezaktywatorów metali. Depresatory  W  8: Synergia i antagonizm w działaniu dodatków. Komponowanie pakietów dodatków.
Zadaniem ćwiczenia projektowego jest opracowanie podstaw projektu procesu produkcji określonego rodzaju dodatku do środka smarowego lub paliwa. .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Mortier R. M., Orszulik S. T.,  Chemistry and Technology of Lubricants, Blackie Academic Professional, London - Weinheim -  New York - Tokyo - Melbourne - Madras 1997
3. Podniało A.,  Poradnik. Paliwa, oleje, smary w ekologicznej eksploatacji, WNT, Warszawa 2002
4. Bowden F.P., Tabor D.,  The Friction and Lubrication of Solids, Oxford University Press,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i pogłębioną wiedzę z zakresu chemii i preparatyki organicznej przydatną do opracowania metod produkcji syntetycznych dodatków uszlachetniających do olejów smarowych i paliw.</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Ma szczegółową wiedzę dotyczącą klasyfikacji jakościowej i lepkościowej olejów silnikowych i przekładniowych oraz doboru właściwych dodatków uszlachetniających dla uzyskania odpowiednich właściwości środków smarowych.</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W05_01: </w:t>
      </w:r>
    </w:p>
    <w:p>
      <w:pPr/>
      <w:r>
        <w:rPr/>
        <w:t xml:space="preserve">Ma rozszerzoną wiedzę o trendach rozwojowych z zakresu nowoczesnych dodatków do środków smarowych, w szczególności dodatków wielofunkcyjnych nie zawierających siarki i fosforu.</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metod produkcji dodatków uszlachetniających.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U12_01: </w:t>
      </w:r>
    </w:p>
    <w:p>
      <w:pPr/>
      <w:r>
        <w:rPr/>
        <w:t xml:space="preserve">Potrafi ocenić przydatność danych substancji jako dodatków uszlachetniających do paliw i środków smarowych. Potrafi przewidzieć, czy zastosowanie danych dodatków rodzi ryzyko antagonizmu między nimi, lub czy możliwe jest ich działanie synergistyczne.</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2024-05-19T00:19:48+02:00</dcterms:created>
  <dcterms:modified xsi:type="dcterms:W3CDTF">2024-05-19T00:19:48+02:00</dcterms:modified>
</cp:coreProperties>
</file>

<file path=docProps/custom.xml><?xml version="1.0" encoding="utf-8"?>
<Properties xmlns="http://schemas.openxmlformats.org/officeDocument/2006/custom-properties" xmlns:vt="http://schemas.openxmlformats.org/officeDocument/2006/docPropsVTypes"/>
</file>