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zna specyficzne kryteria decyzyjne i formuły cenowe oraz ma wiedzę o metodach rozwiązywania typowych: </w:t>
      </w:r>
    </w:p>
    <w:p>
      <w:pPr/>
      <w:r>
        <w:rPr/>
        <w:t xml:space="preserve">ma wiedzę z zakresu podstaw rachunku i kontroli kosztów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RAZAZ_W01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zna specyficzne kryteria decyzyjne i formuły cenowe oraz ma wiedzę o metodach rozwiązywania typowych problemów decyzyjnych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ma wiedzę z zakresu budżetowania kosztów, przychodów i wyników oraz zna nowoczesne systemy pomiaru i oceny dokonań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potrafi dokonywać pomiaru kosztów i rentowności wyróżnianych obiektów, analizować poziom i strukturę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potrafi kalkulować ceny sprzedaży, górne i dolne granice cenowe oraz sporządzać rachunki alternatywnych działań i analizować ich wpływ na wynik podmiotu w okresie bieżącym i przyszłym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potrafi sporządzać budżety cząstkowe i oceniać ich wykonanie oraz mierzyć dokonania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ma świadomość braków w wiedzy własnej i/lub zdolności do jej zastosowania oraz ma potrzebę ich uzupełniania i aktualizowania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rozumie konieczność współpracy z innymi w rozwiązywaniu problemów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2026-08-23T21:13:36+02:00</dcterms:created>
  <dcterms:modified xsi:type="dcterms:W3CDTF">2026-08-23T21:13:36+02:00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