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zasadach bezpieczeństwa i higieny  pracy,
- potrafił podejmować decyzje dotyczące  zarządzania  bezpieczeń-stwem 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Systemy, procedury i procesy w zarządzaniu bezpieczeństwem pracy. 2) Dobre praktyki produkcyjne GMP. 3) Dobre praktyki higieniczne GHP. 4) Zarządzanie bezpieczeństwem żywności HACCP.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za-wodowego. OWPW, Warszawa 2012. [3] Karczewski J.T. (red.): Pod-ręcznik zarządzania bezpieczeństwem pracy. Ocena ryzyka zawodowe-go. Wyd. Forum, Poznań 2010. [4] Koradecka D. (red): Bezpieczeństwo pracy i ergonomia. CIOP, Warszawa 2007. [5] Rączkowski B.: BHP w praktyce. ODDK, Gdańsk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2P1Z6_W01: </w:t>
      </w:r>
    </w:p>
    <w:p>
      <w:pPr/>
      <w:r>
        <w:rPr/>
        <w:t xml:space="preserve">ma podstawowa wiedzę o zasadach bezpieczeństwa i higie-ny 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2P1Z6_U01: </w:t>
      </w:r>
    </w:p>
    <w:p>
      <w:pPr/>
      <w:r>
        <w:rPr/>
        <w:t xml:space="preserve">potrafi podejmować decyzje dotyczące  zarządzania  bez-pieczeństwem 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2026-06-18T15:17:38+02:00</dcterms:created>
  <dcterms:modified xsi:type="dcterms:W3CDTF">2026-06-18T15:17:38+02:00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