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 Razem: 160 godzin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 Razem: 160 godzin (4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PRA_W01: </w:t>
      </w:r>
    </w:p>
    <w:p>
      <w:pPr/>
      <w:r>
        <w:rPr/>
        <w:t xml:space="preserve">Zna zagadnienia dotyczące urządzeń, technologii lub procesów definiujących specyfikę firmy organizującej praktykę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keepNext w:val="1"/>
        <w:spacing w:after="10"/>
      </w:pPr>
      <w:r>
        <w:rPr>
          <w:b/>
          <w:bCs/>
        </w:rPr>
        <w:t xml:space="preserve">Efekt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2024-05-03T03:59:59+02:00</dcterms:created>
  <dcterms:modified xsi:type="dcterms:W3CDTF">2024-05-03T03:59:59+02:00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