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algorytmy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Automatyki, 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strojenia nowoczesnych komputerowych algorytmów regulacji procesów ciągłych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Cyfrowy regulator PID. Samostrojący się regulator PID. Układ regulacji z predyktorem Smith’a. Regulator dead-beat. Układ regulacji z zadanym modelem. Regulator z macierzą dynamiki układu. Regulator predykcyjny. Ograniczenie sygnału wyjściowego regulatora.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A., Systemy komputerowe automatyki przemysłowej, t. 2. WNT, Warszawa 1989.
2. Tatjewski P., Sterowanie zaawansowane obiektów przemysłowych, Struktury i algorytmy, Akademicka Oficyna Wydawnicza Exit,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ZAR_W01: </w:t>
      </w:r>
    </w:p>
    <w:p>
      <w:pPr/>
      <w:r>
        <w:rPr/>
        <w:t xml:space="preserve">Projektowanie nowoczesnych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CAR_W02: </w:t>
      </w:r>
    </w:p>
    <w:p>
      <w:pPr/>
      <w:r>
        <w:rPr/>
        <w:t xml:space="preserve">Analiza stabilności nowoczesnych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ZAR_U01: </w:t>
      </w:r>
    </w:p>
    <w:p>
      <w:pPr/>
      <w:r>
        <w:rPr/>
        <w:t xml:space="preserve">Projektowanie nowoczesnych komputerowych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keepNext w:val="1"/>
        <w:spacing w:after="10"/>
      </w:pPr>
      <w:r>
        <w:rPr>
          <w:b/>
          <w:bCs/>
        </w:rPr>
        <w:t xml:space="preserve">Efekt ZAR_U02: </w:t>
      </w:r>
    </w:p>
    <w:p>
      <w:pPr/>
      <w:r>
        <w:rPr/>
        <w:t xml:space="preserve">Umiejętność przedstawienia opisu wykonanych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projketów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keepNext w:val="1"/>
        <w:spacing w:after="10"/>
      </w:pPr>
      <w:r>
        <w:rPr>
          <w:b/>
          <w:bCs/>
        </w:rPr>
        <w:t xml:space="preserve">Efekt ZAR_U03: </w:t>
      </w:r>
    </w:p>
    <w:p>
      <w:pPr/>
      <w:r>
        <w:rPr/>
        <w:t xml:space="preserve">Umiejętność korzystania z literatury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ZAR_K01: </w:t>
      </w:r>
    </w:p>
    <w:p>
      <w:pPr/>
      <w:r>
        <w:rPr/>
        <w:t xml:space="preserve">Umiejętność rozwiązywania nowych, nieznanych problemów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2024-05-19T23:56:28+02:00</dcterms:created>
  <dcterms:modified xsi:type="dcterms:W3CDTF">2024-05-19T23:56:28+02:00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