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SD2_W01: </w:t>
      </w:r>
    </w:p>
    <w:p>
      <w:pPr/>
      <w:r>
        <w:rPr/>
        <w:t xml:space="preserve">Zna zasady opracowywania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SD2_W02: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T2A_U05</w:t>
      </w:r>
    </w:p>
    <w:p>
      <w:pPr>
        <w:keepNext w:val="1"/>
        <w:spacing w:after="10"/>
      </w:pPr>
      <w:r>
        <w:rPr>
          <w:b/>
          <w:bCs/>
        </w:rPr>
        <w:t xml:space="preserve">Efekt SD2_U02: </w:t>
      </w:r>
    </w:p>
    <w:p>
      <w:pPr/>
      <w:r>
        <w:rPr/>
        <w:t xml:space="preserve">potrafi wykorzystać obcojęzyczne źródła informacji naukowo-technicznej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p>
      <w:pPr>
        <w:keepNext w:val="1"/>
        <w:spacing w:after="10"/>
      </w:pPr>
      <w:r>
        <w:rPr>
          <w:b/>
          <w:bCs/>
        </w:rPr>
        <w:t xml:space="preserve">Efekt SD2_K02: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2024-05-05T12:24:01+02:00</dcterms:created>
  <dcterms:modified xsi:type="dcterms:W3CDTF">2024-05-05T12:24:01+02:00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