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110</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osiadać uporządkowaną wiedzę w zakresie mechaniki nierelatywistycznej, hydrostatyki, hydrodynamiki termodynamiki fenomenologicznej i statystycznej.</w:t>
      </w:r>
    </w:p>
    <w:p>
      <w:pPr>
        <w:keepNext w:val="1"/>
        <w:spacing w:after="10"/>
      </w:pPr>
      <w:r>
        <w:rPr>
          <w:b/>
          <w:bCs/>
        </w:rPr>
        <w:t xml:space="preserve">Treści kształcenia: </w:t>
      </w:r>
    </w:p>
    <w:p>
      <w:pPr>
        <w:spacing w:before="20" w:after="190"/>
      </w:pPr>
      <w:r>
        <w:rPr/>
        <w:t xml:space="preserve">W podziale na wykład:
(1)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2024-05-19T09:28:38+02:00</dcterms:created>
  <dcterms:modified xsi:type="dcterms:W3CDTF">2024-05-19T09:28:38+02:00</dcterms:modified>
</cp:coreProperties>
</file>

<file path=docProps/custom.xml><?xml version="1.0" encoding="utf-8"?>
<Properties xmlns="http://schemas.openxmlformats.org/officeDocument/2006/custom-properties" xmlns:vt="http://schemas.openxmlformats.org/officeDocument/2006/docPropsVTypes"/>
</file>