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prof. dr hab. inż. Stanisław Radkowski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315</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Studia literaturowe- 5 godzin, przygotowanie do zajęć 5 godzin, przygotowanie do egzaminu 10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podstaw pomiarów wielkości dynamicznych, analizy matematycznej i postaw fizyki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przydatną do formułowania i rozwiązywania prostych zadań z zakresu diagnostyki, eksploatacji maszyn i pojazdów. Poznanie budowy i zasady działania systemów diagnostycznych oraz obsługi metod i oprogramowania inżynierskiego. Zrozumienie aspektów ekonomicznych, społecznych, prawnych i eksploatacyjnych w dziedzinie diagnostyki oraz trendów rozwoju współczesnych układów mechanicznych pojazdów.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
</w:t>
      </w:r>
    </w:p>
    <w:p>
      <w:pPr>
        <w:keepNext w:val="1"/>
        <w:spacing w:after="10"/>
      </w:pPr>
      <w:r>
        <w:rPr>
          <w:b/>
          <w:bCs/>
        </w:rPr>
        <w:t xml:space="preserve">Treści kształcenia: </w:t>
      </w:r>
    </w:p>
    <w:p>
      <w:pPr>
        <w:spacing w:before="20" w:after="190"/>
      </w:pPr>
      <w:r>
        <w:rPr/>
        <w:t xml:space="preserve">Wykład :
Modele błędów i procesów (modele statyczne, dynamiczne, modele procesów, nieliniowe modele procesów). Modele sygnałów (sygnały harmoniczne, superpozycja, modulacja amplitudowa, modulacja częstotliwościowa, dudnienia, superpozycja i charakterystyki nieliniowe). Detekcja błędu na podstawie modelu sygnału – analiza sygnałów okresowych (analiza korelacyjna, estymacja na podstawie maksymalnej entropii, analiza cepstralna). Analiza niestacjonarności sygnałów okresowych. Energetyczny operator Teagera-Kaisera. Detekcja błędów i uszkodzeń za pomocą metod identyfikacji procesów (identyfikacja za pomocą funkcji korelacji, splotu, estymacji parametrów procesów liniowych, identyfikacji procesów nieliniowych). Porównanie metod detekcji uszkodzeń (detekcja wsparta modelowo). Procedury diagnostyczne (reprezentacja wiedzy diagnostycznej, wiedza aprioryczna, reprezentacja symptomowa). Diagnozowanie uszkodzeń za pomocą metod klasyfikacji (klasyfikacja za pomocą wzorców, klasyfikator bayesowski, klasyfikator geometryczny, klasyfikacja wielomianami, drzewa decyzyjne). Wnioskowanie diagnostyczne (logika dwuwartościowa, wielowartościowa, rozmyta). Diagnozowanie systemów uszkodzeniowo zorientowanych. Metody statystyczne w diagnostyce (wyznaczanie granicznych wartości parametrów). Eksperymenty diagnostyczne (bierny eksperyment diagnostyczny, czynno-bierny eksperyment diagnostyczny, czynny eksperyment diagnostyczny, metody regresji).
Laboratorium:
1. Wykorzystanie zjawisk falowych w diagnostyce konstrukcji sprężonych.
2. Diagnostyka stanu naprężeń.
3. Diagnostyka giga cyklowego procesu zmęczeniowego.
4. Diagnostyka hydraulicznych elementów wykonawczych układów hydraulicznych.
5. Diagnostyka konstrukcji za pomocą analizy modalnej.
</w:t>
      </w:r>
    </w:p>
    <w:p>
      <w:pPr>
        <w:keepNext w:val="1"/>
        <w:spacing w:after="10"/>
      </w:pPr>
      <w:r>
        <w:rPr>
          <w:b/>
          <w:bCs/>
        </w:rPr>
        <w:t xml:space="preserve">Metody oceny: </w:t>
      </w:r>
    </w:p>
    <w:p>
      <w:pPr>
        <w:spacing w:before="20" w:after="190"/>
      </w:pPr>
      <w:r>
        <w:rPr/>
        <w:t xml:space="preserve">2 kolokwia, egzamin, raporty z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Radkowski S. Wibroakustyczna diagnostyka uszkodzeń niskoenergetycznych, ITE Warszawa-Radom 2002.
2. Radkowski S., Dybała J., Wykorzystanie sygnału wibroakustycznego w analizie ryzyka technicznego, ITE Radom- Warszawa, 2006.
</w:t>
      </w:r>
    </w:p>
    <w:p>
      <w:pPr>
        <w:keepNext w:val="1"/>
        <w:spacing w:after="10"/>
      </w:pPr>
      <w:r>
        <w:rPr>
          <w:b/>
          <w:bCs/>
        </w:rPr>
        <w:t xml:space="preserve">Witryna www przedmiotu: </w:t>
      </w:r>
    </w:p>
    <w:p>
      <w:pPr>
        <w:spacing w:before="20" w:after="190"/>
      </w:pPr>
      <w:r>
        <w:rPr/>
        <w:t xml:space="preserve">http://www.mechatronika.simr.pw.edu.pl/przedm,1,show_plan,119,Podstawy_diagnostyki.html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2026-02-09T07:58:58+01:00</dcterms:created>
  <dcterms:modified xsi:type="dcterms:W3CDTF">2026-02-09T07:58:58+01:00</dcterms:modified>
</cp:coreProperties>
</file>

<file path=docProps/custom.xml><?xml version="1.0" encoding="utf-8"?>
<Properties xmlns="http://schemas.openxmlformats.org/officeDocument/2006/custom-properties" xmlns:vt="http://schemas.openxmlformats.org/officeDocument/2006/docPropsVTypes"/>
</file>