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 i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CHEBUD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laboratorium 30 godz., przygotowanie do zajęć laboratoryjnych 15 godz., przygotowanie raportów z zajęć laboratoryjnych 25 godz., przygotowanie do egzaminu 23 godz. i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 30 godz., laboratorium 30 godz.,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95 godz.=4 ECTS: obecność na laboratorium 30 godz., przygotowanie do zajęć laboratoryjnych 15 godz., przygotowanie raportów z zajęć laboratoryjnych 25 godz., przygotowanie do egzaminu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&lt;br&gt;&lt;b&gt;Laboratoria:&lt;/b&gt;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1996&lt;br&gt;
[2] Czarnecki L., Łukowski P., Garbacz A., Chmielewska B., Ćwiczenia laboratoryjne z chemii budowlanej (skrypt),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CHEBUDW1: </w:t>
      </w:r>
    </w:p>
    <w:p>
      <w:pPr/>
      <w:r>
        <w:rPr/>
        <w:t xml:space="preserve">Zna podstawowe procesy chemiczne zachodzące podczas wiązania najczęsciej stosowanych spoiw budowlanych oraz procesy korozji konstrukcji betonowych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CHEBUDW2: </w:t>
      </w:r>
    </w:p>
    <w:p>
      <w:pPr/>
      <w:r>
        <w:rPr/>
        <w:t xml:space="preserve">Zna właściwości, produkcje i zastowanie podstawowych spoiw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CHEBUDU1: </w:t>
      </w:r>
    </w:p>
    <w:p>
      <w:pPr/>
      <w:r>
        <w:rPr/>
        <w:t xml:space="preserve">Potrafi stosować podstawowe metody ochrony przed korozją betonu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CHEBUDU2: </w:t>
      </w:r>
    </w:p>
    <w:p>
      <w:pPr/>
      <w:r>
        <w:rPr/>
        <w:t xml:space="preserve">potrafi stosować metody miareczkowe w analizie chemicznym, potrafi wykrywać najczęsciej występujace w materiałach budowlanych kationy i aniony, potrafi ocenić stopień karbonatyzacji betonu,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CHEBUDU3: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CHEBUDK1: </w:t>
      </w:r>
    </w:p>
    <w:p>
      <w:pPr/>
      <w:r>
        <w:rPr/>
        <w:t xml:space="preserve">Jest przygotowany do zespołowego wykonywania zadania badawczego i zaprezentowania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CHEBUDK2: </w:t>
      </w:r>
    </w:p>
    <w:p>
      <w:pPr/>
      <w:r>
        <w:rPr/>
        <w:t xml:space="preserve">Potrafi opisać wyniki przeprowadzonych badań i na ich podstawie sformułowac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2024-05-17T10:26:08+02:00</dcterms:created>
  <dcterms:modified xsi:type="dcterms:W3CDTF">2024-05-17T10:26:08+02:00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