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 BE</w:t>
      </w:r>
    </w:p>
    <w:p>
      <w:pPr>
        <w:keepNext w:val="1"/>
        <w:spacing w:after="10"/>
      </w:pPr>
      <w:r>
        <w:rPr>
          <w:b/>
          <w:bCs/>
        </w:rPr>
        <w:t xml:space="preserve">Koordynator przedmiotu: </w:t>
      </w:r>
    </w:p>
    <w:p>
      <w:pPr>
        <w:spacing w:before="20" w:after="190"/>
      </w:pPr>
      <w:r>
        <w:rPr/>
        <w:t xml:space="preserve">Adam Dolot, Dr inż. arch., Piotr Bujak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ARCHI1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projekt 30 godz., przygotowanie do zajęć projektowych 25 godz., konsultacje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projekt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projekt 30 godz., przygotowanie do zajęć projektowych 25 godz., konsultacje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wiadomości z budownictwa ogólnego, podstawowe wiadomości z konstrukcji budowlanych, fizyki cieplnej budowli oraz materiałów budowlanych. Niezbędna jest umiejętność sporządzania szkiców i rysunków architektoniczno-budowlanych.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prowadzonych zajęć jest zwrócenie uwagi przyszłych inżynierów konstruktorów na problemy estetyki w budownictwie. Wykłady mają zapoznać słuchaczy z podstawowymi informacjami o historii architektury europejskiej i rozwoju konstrukcji inżynierskich ze szczególnym uwzględnieniem tendencji występujących w XX wieku. Drugim istotnym celem jest wskazanie jak powinna odbywać się współpraca inżyniera konstruktora z architektem, tak ważna w trakcie całego procesu inwestycyjnego.</w:t>
      </w:r>
    </w:p>
    <w:p>
      <w:pPr>
        <w:keepNext w:val="1"/>
        <w:spacing w:after="10"/>
      </w:pPr>
      <w:r>
        <w:rPr>
          <w:b/>
          <w:bCs/>
        </w:rPr>
        <w:t xml:space="preserve">Treści kształcenia: </w:t>
      </w:r>
    </w:p>
    <w:p>
      <w:pPr>
        <w:spacing w:before="20" w:after="190"/>
      </w:pPr>
      <w:r>
        <w:rPr/>
        <w:t xml:space="preserve">Wykłady przedstawiają problemy projektowania architektonicznego i zarys historii architektury od czasów starożytnych do okresu współczesnego ze szczególnym uwzględnieniem architektury XX wieku. Zagadnienia kształtowania architektonicznego omawiane są na przykładzie budownictwa mieszkaniowego. Tematem ćwiczeń jest projekt prostego budynku usługowego, jak na przykład: leśniczówka, warsztat samochodowy, motel, stanica wodna, itp. W każdym z tych tematów przewidziane jest mieszkanie lub dom jednorodzinny kierownika obiektu. Projekt należy wykonać w trwałej technice na zadanej sytuacji w skali 1:500; komplet pozostałych rysunków (rzuty, przekroje, elewacje) w skali 1:100. Wymagana jest wizualizacja (aksonometria lub perspektywa) zaprojektowanego budynku.</w:t>
      </w:r>
    </w:p>
    <w:p>
      <w:pPr>
        <w:keepNext w:val="1"/>
        <w:spacing w:after="10"/>
      </w:pPr>
      <w:r>
        <w:rPr>
          <w:b/>
          <w:bCs/>
        </w:rPr>
        <w:t xml:space="preserve">Metody oceny: </w:t>
      </w:r>
    </w:p>
    <w:p>
      <w:pPr>
        <w:spacing w:before="20" w:after="190"/>
      </w:pPr>
      <w:r>
        <w:rPr/>
        <w:t xml:space="preserve">• Wykłady zaliczane są jako sprawdzian pisemny przeprowadzany w czasie sesji • Ćwiczenia są zaliczane - po zaliczeniu przeglądu projektu wyznaczonego w połowie semestru - po złożeniu projektu, wykonanego przez studenta w ciągu całego semestru, akceptowanego przez prowadzącego indywidualne korekty - ocena dokonywana będzie przez cały zespół dydaktyczny.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Broniewski Tadeusz, Historia architektury dla wszystkich, Ossolineum 1980 &lt;br&gt;
[2] Buchner Monika i Andrzej, Laube Jan, Zarys projektowania i historii architektury, WSiPW 1991 &lt;br&gt;
[3] Gympel Jan, Historia architektury od antyku do czasów współczesnych, Könemann 2000 &lt;br&gt;
[4] Jenks Charles, Architektura postmodernistyczna, Arkady 1987 &lt;br&gt;
[5] Jodadio Philip, Nowe formy, Architektura lat dziewięćdziesiątych XX wieku, Muza S.A. 1998 &lt;br&gt;
[6] Koch Wilfried, Style w architekturze, Świat KsiąŜki 1996 &lt;br&gt;
[7] Neufert Ernst i Peter, Podręcznik projektowania architektoniczno-budowlanego, Arkady 1995 &lt;br&gt;
[8] Pevsner Nikolaus, Fleming John, Honour Hugh, Encyklopedia architektury, WAiF 1992 &lt;br&gt;
[9] Pevsner Nikolaus, Historia architektury europejskiej, Arkady 1979 &lt;br&gt;
[10] Tietz Jürgen, Historia architektury XX wieku, Könemann 1998 &lt;br&gt;
[11] Rozporządzenie ministra infrastruktury z dnia 12 kwietnia 2002 r. w sprawie warunków technicznych jakim powinny odpowiadać budynki i ich usytuowanie, (Dz U Nr 75 z dnia 15 czerwca 2002 r.)</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ARCHI1W1: </w:t>
      </w:r>
    </w:p>
    <w:p>
      <w:pPr/>
      <w:r>
        <w:rPr/>
        <w:t xml:space="preserve">Ma podstawową wiedzę na temat projektowania urbanistycznego i architektonicznego oraz zagadnień związanych z projektowaniem.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K1_W02, K1_W07, K1_W11, K1_W12, K1_W16, K1_W19, K1_W22, K1_W23</w:t>
      </w:r>
    </w:p>
    <w:p>
      <w:pPr>
        <w:spacing w:before="20" w:after="190"/>
      </w:pPr>
      <w:r>
        <w:rPr>
          <w:b/>
          <w:bCs/>
        </w:rPr>
        <w:t xml:space="preserve">Powiązane efekty obszarowe: </w:t>
      </w:r>
      <w:r>
        <w:rPr/>
        <w:t xml:space="preserve">T1A_W01, T1A_W02, T1A_W07, T1A_W04, T1A_W05, T1A_W07, T1A_W08, T1A_W02, T1A_W05, T1A_W08, T1A_W01, T1A_W02, T1A_W04, T1A_W06, T1A_W06, T1A_W08, T1A_W09, T1A_W02, T1A_W03, T1A_W07, T1A_W08, T1A_W10</w:t>
      </w:r>
    </w:p>
    <w:p>
      <w:pPr>
        <w:keepNext w:val="1"/>
        <w:spacing w:after="10"/>
      </w:pPr>
      <w:r>
        <w:rPr>
          <w:b/>
          <w:bCs/>
        </w:rPr>
        <w:t xml:space="preserve">Efekt ARCHI1W2: </w:t>
      </w:r>
    </w:p>
    <w:p>
      <w:pPr/>
      <w:r>
        <w:rPr/>
        <w:t xml:space="preserve">	Ma podstawową wiedzę z zakresu historii urbanistyki, architektury i budownictwa.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K1_W19, K1_W20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ARCHI1U1: </w:t>
      </w:r>
    </w:p>
    <w:p>
      <w:pPr/>
      <w:r>
        <w:rPr/>
        <w:t xml:space="preserve">	Umiejętność twórczej analizy projektu architektonicznego i urbanistycznego w zakresie rozwiązań konstrukcyjnych, technologicznych, materiałowych i formalnych.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K1_U07, K1_U12, K1_U13, K1_U18, K1_U20</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w:t>
      </w:r>
    </w:p>
    <w:p>
      <w:pPr>
        <w:keepNext w:val="1"/>
        <w:spacing w:after="10"/>
      </w:pPr>
      <w:r>
        <w:rPr>
          <w:b/>
          <w:bCs/>
        </w:rPr>
        <w:t xml:space="preserve">Efekt ARCHI1U2: </w:t>
      </w:r>
    </w:p>
    <w:p>
      <w:pPr/>
      <w:r>
        <w:rPr/>
        <w:t xml:space="preserve">	Umiejętność czytania i interpretacji projektu architektonicznego w trakcie realizacji.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K1_U12, K1_U13, K1_U18, K1_U20</w:t>
      </w:r>
    </w:p>
    <w:p>
      <w:pPr>
        <w:spacing w:before="20" w:after="190"/>
      </w:pPr>
      <w:r>
        <w:rPr>
          <w:b/>
          <w:bCs/>
        </w:rPr>
        <w:t xml:space="preserve">Powiązane efekty obszarowe: </w:t>
      </w:r>
      <w:r>
        <w:rPr/>
        <w:t xml:space="preserve">T1A_U03, T1A_U05, T1A_U14, T1A_U15, T1A_U16, T1A_U03, T1A_U07, T1A_U15, T1A_U03, T1A_U13, T1A_U14, T1A_U15, T1A_U16, T1A_U07, T1A_U11, T1A_U15, T1A_U16</w:t>
      </w:r>
    </w:p>
    <w:p>
      <w:pPr>
        <w:keepNext w:val="1"/>
        <w:spacing w:after="10"/>
      </w:pPr>
      <w:r>
        <w:rPr>
          <w:b/>
          <w:bCs/>
        </w:rPr>
        <w:t xml:space="preserve">Efekt ARCHI1U3: </w:t>
      </w:r>
    </w:p>
    <w:p>
      <w:pPr/>
      <w:r>
        <w:rPr/>
        <w:t xml:space="preserve">Potrafi ocenić rodzaj i charakter istniejących konstrukcji budowlanych realizowanych w różnych okresach historycznych.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ARCHI1K1: </w:t>
      </w:r>
    </w:p>
    <w:p>
      <w:pPr/>
      <w:r>
        <w:rPr/>
        <w:t xml:space="preserve">Ma zdolność kompetentnej współpracy z architektem w tracie procesu twórczego.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K1_K01, K1_K02, K1_K03, K1_K06, K1_K08</w:t>
      </w:r>
    </w:p>
    <w:p>
      <w:pPr>
        <w:spacing w:before="20" w:after="190"/>
      </w:pPr>
      <w:r>
        <w:rPr>
          <w:b/>
          <w:bCs/>
        </w:rPr>
        <w:t xml:space="preserve">Powiązane efekty obszarowe: </w:t>
      </w:r>
      <w:r>
        <w:rPr/>
        <w:t xml:space="preserve">T1A_K03, T1A_K02, T1A_K05, T1A_K07, T1A_K01, T1A_K05, T1A_K06, T1A_K01,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2025-05-19T19:14:08+02:00</dcterms:created>
  <dcterms:modified xsi:type="dcterms:W3CDTF">2025-05-19T19:14:08+02:00</dcterms:modified>
</cp:coreProperties>
</file>

<file path=docProps/custom.xml><?xml version="1.0" encoding="utf-8"?>
<Properties xmlns="http://schemas.openxmlformats.org/officeDocument/2006/custom-properties" xmlns:vt="http://schemas.openxmlformats.org/officeDocument/2006/docPropsVTypes"/>
</file>