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PW 2006;&lt;br&gt; [3] Odwodnienie komunikacyjnych budowli ziemnych. K. Gradkowski, PW 2006r;&lt;br&gt; 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ROBUZIW3: </w:t>
      </w:r>
    </w:p>
    <w:p>
      <w:pPr/>
      <w:r>
        <w:rPr/>
        <w:t xml:space="preserve">Potrafi sporządzić projekt budowlany i zrealizować obiekt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K1_W11, 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2025-05-19T19:20:12+02:00</dcterms:created>
  <dcterms:modified xsi:type="dcterms:W3CDTF">2025-05-19T19:20:12+02:00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