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kompozytów asfaltowych</w:t>
      </w:r>
    </w:p>
    <w:p>
      <w:pPr>
        <w:keepNext w:val="1"/>
        <w:spacing w:after="10"/>
      </w:pPr>
      <w:r>
        <w:rPr>
          <w:b/>
          <w:bCs/>
        </w:rPr>
        <w:t xml:space="preserve">Koordynator przedmiotu: </w:t>
      </w:r>
    </w:p>
    <w:p>
      <w:pPr>
        <w:spacing w:before="20" w:after="190"/>
      </w:pPr>
      <w:r>
        <w:rPr/>
        <w:t xml:space="preserve">Piotr Radziszewski, Prof. dr hab. inż., Michał Sarnowski,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TEKOAS</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ECTS:&lt;br&gt; wykład 10 godz., ćwiczenia laboratoryjne 20 godz., przygotowanie do zajęć laboratoryjnych i zaliczenia 12 godz., korekta raportów, konsultacje, zaliczenia 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38 godz. = 1,5 ECTS:&lt;br&gt; wykład 10 godz., ćwiczenia laboratoryjne 20 godz., korekty raportów, konsultacje, zaliczenie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32 godz. = 1 ECTS:&lt;br&gt; obecność w laboratorium 20 godz., przygotowanie do laboratorium, napisanie sprawozdania i weryfikacja 12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&lt;br&gt;Umiejętność doboru materiałowego przy projektowaniu mieszanki typu beton asfaltowy do nawierzchni drogowych. &lt;br&gt;Podstawowa umiejętność doboru optymalnej technologii z zakresu mieszanek mineralno-asfaltowych stosowanych do warstw konstrukcyjnych nawierzchni drogowych spełniających warunki obciążenia i warunki klimatyczne. &lt;br&gt;Podstawowa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Kompleksowa ocena właściwości lepiszczy asfaltowych na podstawie karty jakości asfaltu BTDC. &lt;li&gt;Mieszanki mineralno-asfaltowe (MMA): rodzaje, skład, metody otrzymywania, zakres stosowania, cechy techniczne, zastosowanie, metody produkcji i kontroli jakości. &lt;li&gt;Projektowanie składu mieszanki mineralnej o ciągłym uziarnieniu. Zasady ustalania składu MMA typu beton asfaltowy: szkielet mineralny, dobór ilości asfaltu dwoma metodami. &lt;li&gt;Indywidualne zaprojektowanie składu MMA typu beton asfaltowy, wykonanie próbek do badań, badanie właściwości wybranej mieszanki mineralno-asfaltowej. 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Egzamin pisemny.&lt;br&gt;
Sprawozdanie z laboratorium oraz test.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TEKOASW1: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TEKOASU1: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K1_U20</w:t>
      </w:r>
    </w:p>
    <w:p>
      <w:pPr>
        <w:spacing w:before="20" w:after="190"/>
      </w:pPr>
      <w:r>
        <w:rPr>
          <w:b/>
          <w:bCs/>
        </w:rPr>
        <w:t xml:space="preserve">Powiązane efekty obszarowe: </w:t>
      </w:r>
      <w:r>
        <w:rPr/>
        <w:t xml:space="preserve">T1A_U03, T1A_U04, T1A_U08, T1A_U11, T1A_U14, T1A_U15, T1A_U03, T1A_U04, T1A_U08, T1A_U09, T1A_U15, T1A_U07, T1A_U11, T1A_U15, T1A_U16</w:t>
      </w:r>
    </w:p>
    <w:p>
      <w:pPr>
        <w:keepNext w:val="1"/>
        <w:spacing w:after="10"/>
      </w:pPr>
      <w:r>
        <w:rPr>
          <w:b/>
          <w:bCs/>
        </w:rPr>
        <w:t xml:space="preserve">Efekt TEKOASU2: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TEKOASU3: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K1_U18, K1_U20</w:t>
      </w:r>
    </w:p>
    <w:p>
      <w:pPr>
        <w:spacing w:before="20" w:after="190"/>
      </w:pPr>
      <w:r>
        <w:rPr>
          <w:b/>
          <w:bCs/>
        </w:rPr>
        <w:t xml:space="preserve">Powiązane efekty obszarowe: </w:t>
      </w:r>
      <w:r>
        <w:rPr/>
        <w:t xml:space="preserve">T1A_U03, T1A_U04, T1A_U08, T1A_U11, T1A_U14, T1A_U15, 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TEKOASK1: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K1_K02, K1_K04, K1_K05, K1_K06</w:t>
      </w:r>
    </w:p>
    <w:p>
      <w:pPr>
        <w:spacing w:before="20" w:after="190"/>
      </w:pPr>
      <w:r>
        <w:rPr>
          <w:b/>
          <w:bCs/>
        </w:rPr>
        <w:t xml:space="preserve">Powiązane efekty obszarowe: </w:t>
      </w:r>
      <w:r>
        <w:rPr/>
        <w:t xml:space="preserve">T1A_K03, T1A_K02, T1A_K05, T1A_K07, T1A_K04, T1A_K05, T1A_K07,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2024-05-17T03:53:38+02:00</dcterms:created>
  <dcterms:modified xsi:type="dcterms:W3CDTF">2024-05-17T03:53:38+02:00</dcterms:modified>
</cp:coreProperties>
</file>

<file path=docProps/custom.xml><?xml version="1.0" encoding="utf-8"?>
<Properties xmlns="http://schemas.openxmlformats.org/officeDocument/2006/custom-properties" xmlns:vt="http://schemas.openxmlformats.org/officeDocument/2006/docPropsVTypes"/>
</file>