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hab. inż. Janusz Zachara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laboratorium – 30h,
2.	zapoznanie się ze wskazaną literaturą – 30h
Razem nakład pracy studenta: 30h + 30h = 160h,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30h,
Razem: 30h,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reakcji w roztworach związków nieorganicznych ( dysocjacja, hydroliza, utlenianie-redukcja,  kompleksowanie)
•	posługiwać się podstawowym sprzętem laboratoryjnym, wykonywać samodzielnie proste reakcje, opisywać przebieg doświadczeń i analizować wyniki pomiarów 
•	wykonywać obliczenia chemiczne w dziedzinie równowag reakcji
</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rodzaje reakcji w roztworach wodnych i pojecie równowagi, tudzież wynikające z niego kierunki przebiegu reakcji</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W02: </w:t>
      </w:r>
    </w:p>
    <w:p>
      <w:pPr/>
      <w:r>
        <w:rPr/>
        <w:t xml:space="preserve">Posiada podstawową wiedzę nt. właściwości kationów i anionów w roztworach</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prowadzenia i dokumentowania pracy laboratoryjnej, analizy wyników doświadczeń </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K_U08</w:t>
      </w:r>
    </w:p>
    <w:p>
      <w:pPr>
        <w:spacing w:before="20" w:after="190"/>
      </w:pPr>
      <w:r>
        <w:rPr>
          <w:b/>
          <w:bCs/>
        </w:rPr>
        <w:t xml:space="preserve">Powiązane efekty obszarowe: </w:t>
      </w:r>
      <w:r>
        <w:rPr/>
        <w:t xml:space="preserve">T1A_U03,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współpracować w obszarze doświadczalnym</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2026-07-28T19:49:17+02:00</dcterms:created>
  <dcterms:modified xsi:type="dcterms:W3CDTF">2026-07-28T19:49:17+02:00</dcterms:modified>
</cp:coreProperties>
</file>

<file path=docProps/custom.xml><?xml version="1.0" encoding="utf-8"?>
<Properties xmlns="http://schemas.openxmlformats.org/officeDocument/2006/custom-properties" xmlns:vt="http://schemas.openxmlformats.org/officeDocument/2006/docPropsVTypes"/>
</file>