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20 godzin 
obecność na ćwiczeniach projektowych 25 godzin
zapoznanie się z literaturą przedmiotu 10 godzin
wykonanie projektów i obrona na konsultacjach 30
przygotowanie do egzaminu i obecność na egzaminie 25 godzin
=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20 godzin 
obecność na ćwiczeniach projektowych 25 godzin
konsultacje projektu i obrona 2
łącznie 47 godzin
liczba 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25 godzin
wykonanie projektów i obrona na konsultacjach 50
łącznie 75 godzin
liczba ECTS=3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 dużej rozpiętości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 dużej rozpiętości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2013..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T1A_W01, T1A_W02, T1A_W05, T1A_W07,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K1_U07,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T1A_U03, T1A_U04, T1A_U05, T1A_U14,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KONBE3K1: </w:t>
      </w:r>
    </w:p>
    <w:p>
      <w:pPr/>
      <w:r>
        <w:rPr/>
        <w:t xml:space="preserve">Potrafi samodzielnie określić kolejność zadań przy projektowaniu stropu o dużej rozpiętości i realizować je w układzie sekwencyjnym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projektu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2024-05-18T07:26:53+02:00</dcterms:created>
  <dcterms:modified xsi:type="dcterms:W3CDTF">2024-05-18T07:26:53+02:00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