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i ekonomika transportu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PIiETR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laboratorium 20 godz., przygotowanie do laboratorium 5 godz., przygotowanie do egzaminu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laboratorium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laboratorium 20 godz., przygotowanie do laboratorium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
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finansowej.&lt;br&gt;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&lt;ol&gt;&lt;li&gt;Planowanie i programowanie inwestycji w budownictwie komunikacyjnym.
&lt;li&gt;Stadia i skład dokumentacji projektowej.
&lt;li&gt;Cele, zakres i zasady rachunku efektywności ekonomicznej i finansowej inwestycji.
&lt;li&gt;Metody uwzględnienia czynnika czasu w analizach efektywności.
&lt;li&gt;Metody szacowania kosztów i korzyści ekonomicznych.
&lt;li&gt;Miary efektywności ekonomicznej i finansowej: NPV, BCR, IRR.
&lt;li&gt;Analizy ryzyka i wrażliwości.
&lt;li&gt;Opłaty za korzystanie z dróg i parkingów oraz wjazd do miasta/centrum.
&lt;li&gt;Analizy gotowości do płacenia.
&lt;li&gt;Zasady finansowania inwestycji w budownictwie komunikacyjnym.
&lt;li&gt;Formy organizacyjne przedsięwzięć inwestycyjnych.
&lt;li&gt;Zasady pozyskiwania wykonawców.&lt;/ol&gt;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ćwiczenia: kolokwium zaliczeniowe;&lt;br&gt;
• wykład: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GDDKiA;&lt;br&gt;
[2] Metodyka sporządzania analiz kosztów i korzyści projektów inwestycyjnych w sektorze transportu –
podręcznik dla beneficjentów środków pomocowych UE;&lt;br&gt;
[3] Aktualne przepisy prawne dotyczące przygotowania, finansowania i realizacji inwestycji;&lt;br&gt;
[4] Niebieska Księga. Infrastruktura drogowa;&lt;br&gt;
[5] Niebieska Księga. Sektor transportu publicznego;&lt;br&gt;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PIiETRW1: </w:t>
      </w:r>
    </w:p>
    <w:p>
      <w:pPr/>
      <w:r>
        <w:rPr/>
        <w:t xml:space="preserve">Ma wiedzę dotyczącą planowania, programowania i finansowania inwestycji komunikacyjynchw.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PIiETRU1: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Potrafi zaplanować i określić sposób finansowania inwestycji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K2_U17_IK,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T2A_U09, T2A_U10, T2A_U12,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PIiETRK1: </w:t>
      </w:r>
    </w:p>
    <w:p>
      <w:pPr/>
      <w:r>
        <w:rPr/>
        <w:t xml:space="preserve">Potrafi pracować samodzielnie oraz określać priorytety służące realizacji zadań. Ma świadomość konieczności podnoszenia kompetencji zawodowych. Rozumie znaczenie rzetelności przedstawienia i interpretacji wyników prac. Ma świadomość ważności i zrozumienia pozatechnicznych aspektów i skutków działalności inżyniera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2026-06-17T15:30:01+02:00</dcterms:created>
  <dcterms:modified xsi:type="dcterms:W3CDTF">2026-06-17T15:30:01+02:00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