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konstrukcji nawierzchni drogowych I</w:t>
      </w:r>
    </w:p>
    <w:p>
      <w:pPr>
        <w:keepNext w:val="1"/>
        <w:spacing w:after="10"/>
      </w:pPr>
      <w:r>
        <w:rPr>
          <w:b/>
          <w:bCs/>
        </w:rPr>
        <w:t xml:space="preserve">Koordynator przedmiotu: </w:t>
      </w:r>
    </w:p>
    <w:p>
      <w:pPr>
        <w:spacing w:before="20" w:after="190"/>
      </w:pPr>
      <w:r>
        <w:rPr/>
        <w:t xml:space="preserve">Piotr Radziszewski, prof. dr hab. inż.</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PKNDR1</w:t>
      </w:r>
    </w:p>
    <w:p>
      <w:pPr>
        <w:keepNext w:val="1"/>
        <w:spacing w:after="10"/>
      </w:pPr>
      <w:r>
        <w:rPr>
          <w:b/>
          <w:bCs/>
        </w:rPr>
        <w:t xml:space="preserve">Semestr nominalny: </w:t>
      </w:r>
    </w:p>
    <w:p>
      <w:pPr>
        <w:spacing w:before="20" w:after="190"/>
      </w:pPr>
      <w:r>
        <w:rPr/>
        <w:t xml:space="preserve">9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50 godz.= 2 ECTS: wykład 10, ćwiczenia projektowe 20, przygotowanie do zajęć projektowych 10, przygotowanie do zaliczenia przedmiotu 10.</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30 godz. = 1 ECTS: wykład 10, ćwiczenia projektowe 20.</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35 godz. = 1 ECTS: obecność na ćwiczeniach projektowych 20, wykonanie projektu 15.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podstawowych właściwości materiałów stosowanych do wykonywania mieszanek mineralno-asfaltowych. Umiejętność doboru materiałowego przy projektowaniu mieszanek mineralno-asfaltowych (MMA) do nawierzchni drogowych oraz kształtowania właściwości kompozytów asfaltowych (MMA). Podstawowa wiedza z zakresu technologii robót drogowych. Ukończenie z wynikiem pozytywnym przedmiotu na studiach I stopnia: „Technologia materiałów i nawierzchni drogowych”.</w:t>
      </w:r>
    </w:p>
    <w:p>
      <w:pPr>
        <w:keepNext w:val="1"/>
        <w:spacing w:after="10"/>
      </w:pPr>
      <w:r>
        <w:rPr>
          <w:b/>
          <w:bCs/>
        </w:rPr>
        <w:t xml:space="preserve">Limit liczby studentów: </w:t>
      </w:r>
    </w:p>
    <w:p>
      <w:pPr>
        <w:spacing w:before="20" w:after="190"/>
      </w:pPr>
      <w:r>
        <w:rPr/>
        <w:t xml:space="preserve">2 grupy 15-30 osobowe</w:t>
      </w:r>
    </w:p>
    <w:p>
      <w:pPr>
        <w:keepNext w:val="1"/>
        <w:spacing w:after="10"/>
      </w:pPr>
      <w:r>
        <w:rPr>
          <w:b/>
          <w:bCs/>
        </w:rPr>
        <w:t xml:space="preserve">Cel przedmiotu: </w:t>
      </w:r>
    </w:p>
    <w:p>
      <w:pPr>
        <w:spacing w:before="20" w:after="190"/>
      </w:pPr>
      <w:r>
        <w:rPr/>
        <w:t xml:space="preserve">Poznanie zagadnień związanych z pracą konstrukcji nawierzchni podatnych, półsztywnych i sztywnych w warunkach zmiennych obciążeń kołowych i środowiskowych; Umiejętność doboru warstw konstrukcyjnych nawierzchni drogowych Umiejętność projektowania konstrukcji nawierzchni różnych rodzajów pracujących w zmiennych warunkach obciążenia Umiejętność projektowania wzmocnień konstrukcji nawierzchni metodą ugięć sprężystych</w:t>
      </w:r>
    </w:p>
    <w:p>
      <w:pPr>
        <w:keepNext w:val="1"/>
        <w:spacing w:after="10"/>
      </w:pPr>
      <w:r>
        <w:rPr>
          <w:b/>
          <w:bCs/>
        </w:rPr>
        <w:t xml:space="preserve">Treści kształcenia: </w:t>
      </w:r>
    </w:p>
    <w:p>
      <w:pPr>
        <w:spacing w:before="20" w:after="190"/>
      </w:pPr>
      <w:r>
        <w:rPr/>
        <w:t xml:space="preserve">Wstęp do przedmiotu. Nazwy i określenia. Rodzaje konstrukcji nawierzchni drogowych. Zadania konstrukcji nawierzchni drogowych. Wymagania stawiane konstrukcji nawierzchni drogowej. Elementy konstrukcji nawierzchni drogowej. Katalog typowych konstrukcji nawierzchni podatnych i półsztywnych. Założenia projektowo – materiałowe. Obciążenie ruchem. Warunki gruntowo-wodne. Grupa nośności podłoża. Odwodnienie podłoża. Mrozoodporność. Wybór konstrukcji nawierzchni. Projektowanie wzmocnienia konstrukcji nawierzchni drogowych metodą ugięć sprężystych. Projektowanie konstrukcji nawierzchni typu sztywnego. Katalog typowych konstrukcji nawierzchni sztywnych
Wykonanie projektu konstrukcji nawierzchni podatnej, półsztywnej i sztywnej metodą katalogową dla różnych rodzajów podłoży i różnych rodzajów warstw konstrukcyjnych. Wykonanie projektu wzmocnienia nawierzchni asfaltowej metodą ugięć sprężystych.</w:t>
      </w:r>
    </w:p>
    <w:p>
      <w:pPr>
        <w:keepNext w:val="1"/>
        <w:spacing w:after="10"/>
      </w:pPr>
      <w:r>
        <w:rPr>
          <w:b/>
          <w:bCs/>
        </w:rPr>
        <w:t xml:space="preserve">Metody oceny: </w:t>
      </w:r>
    </w:p>
    <w:p>
      <w:pPr>
        <w:spacing w:before="20" w:after="190"/>
      </w:pPr>
      <w:r>
        <w:rPr/>
        <w:t xml:space="preserve">Test i ustna obrona ćwiczenia projektowego.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Katalog typowych konstrukcji jezdni podatnych. IBDiM, Warszawa 1997;&lt;br&gt;
[2] Katalog wzmocnień i remontów nawierzchni podatnych i półsztywnych. GDDKiA, Warszawa 2001;&lt;br&gt;
[3] Kalabińska M., Piłat J., Radziszewski P.: Technologia materiałów i nawierzchni drogowych. Oficyna Wydawnicza Politechniki Warszawskiej, Warszawa 2003;&lt;br&gt;
[4] Dziennik Ustaw nr 43 Rzeczpospolitej Polskiej z dnia 14 maja 1999;&lt;br&gt;
[5] Katalog typowych konstrukcji nawierzchni sztywnych. GDDKiA, Warszawa 2001;&lt;br&gt;
[6] Katalog szczegółów drogowych ulic, placów i parków miejskich, Warszawa 1987;&lt;br&gt;
[7] Piłat J., Radziszewski P.: Nawierzchnie asfaltowe. WKŁ, Warszawa 2010;&lt;br&gt;
[8] “The Asphalt Handbook”, Asphalt Institute, USA, manual series no. 4 (MS-4), 7th edition, 2007.</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PKNDR1W1: </w:t>
      </w:r>
    </w:p>
    <w:p>
      <w:pPr/>
      <w:r>
        <w:rPr/>
        <w:t xml:space="preserve">							Ma podstawową wiedzę z zakresu projektowania konstrukcji nawierzchni podatnych, półsztywnych i sztywnych 							</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K1_W05, K1_W07</w:t>
      </w:r>
    </w:p>
    <w:p>
      <w:pPr>
        <w:spacing w:before="20" w:after="190"/>
      </w:pPr>
      <w:r>
        <w:rPr>
          <w:b/>
          <w:bCs/>
        </w:rPr>
        <w:t xml:space="preserve">Powiązane efekty obszarowe: </w:t>
      </w:r>
      <w:r>
        <w:rPr/>
        <w:t xml:space="preserve">T1A_W03, T1A_W04, T1A_W05, T1A_W07, T1A_W08</w:t>
      </w:r>
    </w:p>
    <w:p>
      <w:pPr>
        <w:pStyle w:val="Heading3"/>
      </w:pPr>
      <w:bookmarkStart w:id="3" w:name="_Toc3"/>
      <w:r>
        <w:t>Profil ogólnoakademicki - umiejętności</w:t>
      </w:r>
      <w:bookmarkEnd w:id="3"/>
    </w:p>
    <w:p>
      <w:pPr>
        <w:keepNext w:val="1"/>
        <w:spacing w:after="10"/>
      </w:pPr>
      <w:r>
        <w:rPr>
          <w:b/>
          <w:bCs/>
        </w:rPr>
        <w:t xml:space="preserve">Efekt PKNDR1U1: </w:t>
      </w:r>
    </w:p>
    <w:p>
      <w:pPr/>
      <w:r>
        <w:rPr/>
        <w:t xml:space="preserve">							Potrafi dokonać doboru warstw konstrukcyjnych nawierzchni drogowych							</w:t>
      </w:r>
    </w:p>
    <w:p>
      <w:pPr>
        <w:spacing w:before="60"/>
      </w:pPr>
      <w:r>
        <w:rPr/>
        <w:t xml:space="preserve">Weryfikacja: </w:t>
      </w:r>
    </w:p>
    <w:p>
      <w:pPr>
        <w:spacing w:before="20" w:after="190"/>
      </w:pPr>
      <w:r>
        <w:rPr/>
        <w:t xml:space="preserve">wykonanie projektu</w:t>
      </w:r>
    </w:p>
    <w:p>
      <w:pPr>
        <w:spacing w:before="20" w:after="190"/>
      </w:pPr>
      <w:r>
        <w:rPr>
          <w:b/>
          <w:bCs/>
        </w:rPr>
        <w:t xml:space="preserve">Powiązane efekty kierunkowe: </w:t>
      </w:r>
      <w:r>
        <w:rPr/>
        <w:t xml:space="preserve">K1_U07, K1_U08</w:t>
      </w:r>
    </w:p>
    <w:p>
      <w:pPr>
        <w:spacing w:before="20" w:after="190"/>
      </w:pPr>
      <w:r>
        <w:rPr>
          <w:b/>
          <w:bCs/>
        </w:rPr>
        <w:t xml:space="preserve">Powiązane efekty obszarowe: </w:t>
      </w:r>
      <w:r>
        <w:rPr/>
        <w:t xml:space="preserve">T1A_U03, T1A_U04, T1A_U05, T1A_U14, T1A_U16, T1A_U03, T1A_U04, T1A_U08, T1A_U11, T1A_U14, T1A_U15</w:t>
      </w:r>
    </w:p>
    <w:p>
      <w:pPr>
        <w:keepNext w:val="1"/>
        <w:spacing w:after="10"/>
      </w:pPr>
      <w:r>
        <w:rPr>
          <w:b/>
          <w:bCs/>
        </w:rPr>
        <w:t xml:space="preserve">Efekt PKNDR1U2: </w:t>
      </w:r>
    </w:p>
    <w:p>
      <w:pPr/>
      <w:r>
        <w:rPr/>
        <w:t xml:space="preserve">							Potrafi zaprojektować podstawową konstrukcję nawierzchni drogowej pracującej w zmiennych warunkach obciążenia							</w:t>
      </w:r>
    </w:p>
    <w:p>
      <w:pPr>
        <w:spacing w:before="60"/>
      </w:pPr>
      <w:r>
        <w:rPr/>
        <w:t xml:space="preserve">Weryfikacja: </w:t>
      </w:r>
    </w:p>
    <w:p>
      <w:pPr>
        <w:spacing w:before="20" w:after="190"/>
      </w:pPr>
      <w:r>
        <w:rPr/>
        <w:t xml:space="preserve">wykonanie projektu</w:t>
      </w:r>
    </w:p>
    <w:p>
      <w:pPr>
        <w:spacing w:before="20" w:after="190"/>
      </w:pPr>
      <w:r>
        <w:rPr>
          <w:b/>
          <w:bCs/>
        </w:rPr>
        <w:t xml:space="preserve">Powiązane efekty kierunkowe: </w:t>
      </w:r>
      <w:r>
        <w:rPr/>
        <w:t xml:space="preserve">K1_U06, K1_U07</w:t>
      </w:r>
    </w:p>
    <w:p>
      <w:pPr>
        <w:spacing w:before="20" w:after="190"/>
      </w:pPr>
      <w:r>
        <w:rPr>
          <w:b/>
          <w:bCs/>
        </w:rPr>
        <w:t xml:space="preserve">Powiązane efekty obszarowe: </w:t>
      </w:r>
      <w:r>
        <w:rPr/>
        <w:t xml:space="preserve">T1A_U01, T1A_U07, T1A_U08, T1A_U09, T1A_U15, T1A_U03, T1A_U04, T1A_U05, T1A_U14, T1A_U16</w:t>
      </w:r>
    </w:p>
    <w:p>
      <w:pPr>
        <w:pStyle w:val="Heading3"/>
      </w:pPr>
      <w:bookmarkStart w:id="4" w:name="_Toc4"/>
      <w:r>
        <w:t>Profil ogólnoakademicki - kompetencje społeczne</w:t>
      </w:r>
      <w:bookmarkEnd w:id="4"/>
    </w:p>
    <w:p>
      <w:pPr>
        <w:keepNext w:val="1"/>
        <w:spacing w:after="10"/>
      </w:pPr>
      <w:r>
        <w:rPr>
          <w:b/>
          <w:bCs/>
        </w:rPr>
        <w:t xml:space="preserve">Efekt PKNDR1K1: </w:t>
      </w:r>
    </w:p>
    <w:p>
      <w:pPr/>
      <w:r>
        <w:rPr/>
        <w:t xml:space="preserve">							Potrafi postępować zgodnie ze sztuką inżynierską							</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K1_K02, K1_K08, K1_K09</w:t>
      </w:r>
    </w:p>
    <w:p>
      <w:pPr>
        <w:spacing w:before="20" w:after="190"/>
      </w:pPr>
      <w:r>
        <w:rPr>
          <w:b/>
          <w:bCs/>
        </w:rPr>
        <w:t xml:space="preserve">Powiązane efekty obszarowe: </w:t>
      </w:r>
      <w:r>
        <w:rPr/>
        <w:t xml:space="preserve">T1A_K02, T1A_K05, T1A_K07, T1A_K02, T1A_K05, T1A_K01,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2024-05-18T12:21:55+02:00</dcterms:created>
  <dcterms:modified xsi:type="dcterms:W3CDTF">2024-05-18T12:21:55+02:00</dcterms:modified>
</cp:coreProperties>
</file>

<file path=docProps/custom.xml><?xml version="1.0" encoding="utf-8"?>
<Properties xmlns="http://schemas.openxmlformats.org/officeDocument/2006/custom-properties" xmlns:vt="http://schemas.openxmlformats.org/officeDocument/2006/docPropsVTypes"/>
</file>