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Nośność graniczna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Aleksander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NOGRKO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obecność: wykład 15 godz., ćwiczenia 15 godz., zapoznanie się z literaturą 15 godz., przygotowanie i prezentacja ćwiczeń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obecność: wykład 15 godz., ćwiczenia 14 godz., prezentacja ćwiczeń domowych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zapoznanie się z literaturą do przedmiotu 15 godz., przygotowanie ćwiczeń domowych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i Geometria. Analiza matematyczna.  Wytrzymałość materiałów. Mechanika konstrukcji. Konstrukcje metalowe I. Konstrukcje betonowe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założeń teorii stanów granicznych oraz znajomość równań ją definiujących. Umiejętność formułowania i rozwiązywania zagadnień nośności granicznej prostych układów prętowych.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Jednowymiarowe modele sprężystości i plastyczności oraz sprężysto-plastyczności. Transformacja Legendrea, dualność opisu. Analiza zagadnień sprężysto-plastycznego zachowania wybranych konstrukcji prętowych i płaskiego zginania belek.
Teoria nośności granicznej: stan nośności granicznej, hipoteza wytężenia i powierzchnia graniczna, prawo płynięcia, układ równań zagadnienia nośności, twierdzenia ekstremalne, jednoznaczność rozwiązania.
Konstrukcje prętowe: metody obliczania nośności granicznej – metoda rozwiązań sprężystych, metody bezpośrednie, metoda superpozycji mechanizmów podstawowych. Współdziałanie obciążeń. Zginanie z siłą podłużną.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ćwiczenia domowego i jego prezentacja.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Wojewódzki W.: Nośność graniczna konstrukcji prętowych, OWPW, Warszawa 2005.&lt;br&gt;
[2] Wojewódzki W.: Nośność graniczna płyt, OWPW, Warszawa 2006.&lt;br&gt;
[3] Olszak W., Perzyna P., Sawczuk A.: Teoria plastyczności. PWN, Warszawa 1965.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NOGRKOW1: </w:t>
      </w:r>
    </w:p>
    <w:p>
      <w:pPr/>
      <w:r>
        <w:rPr/>
        <w:t xml:space="preserve">							Zna podstawowe równania teorii stanów granicznych konstrukcji prętowych i wybranych metod ich rozwiązywania, prezentacja.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NOGRKOU1: </w:t>
      </w:r>
    </w:p>
    <w:p>
      <w:pPr/>
      <w:r>
        <w:rPr/>
        <w:t xml:space="preserve">							Umie oszacować nośność graniczną wybranych układów prętowych stosowanych w budownictwie. Potrafi wyznaczyć krzywe interakcji na poziomie przekroju poprzecznego i konstrukcji, projekt.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NOGRKOK1: </w:t>
      </w:r>
    </w:p>
    <w:p>
      <w:pPr/>
      <w:r>
        <w:rPr/>
        <w:t xml:space="preserve">							Ma poczucie potrzeby rzetelności i klarowności w przedstawieniu i interpretacji wyników swoich prac stosowanych w działalności inżynierskiej, projekt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2024-05-17T06:26:40+02:00</dcterms:created>
  <dcterms:modified xsi:type="dcterms:W3CDTF">2024-05-17T06:26:40+02:00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