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C.Ajdukiewicz, dr inż. A. Szwed, dr hab. inż. G. Dzierżanowski, dr inż. T. Sokół, dr inż. S.Czarnecki,  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10 godz.  Ćwiczenia laboratoryjne 5 godz.  Praca własna nad projektami:  20 godz. 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audytoryjne: 10 godz.  ćwiczenia laboratoryjne: 5 godz. 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Wytrzymałości Materiałów I i II oraz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metod  doświadczalnych mechaniki ciała stałego i konstrukcji.&lt;br&gt;
Zrozumienie teorii trwałych deformacji i zjawisk dyssypatywnych oraz podstaw mechaniki pękania.&lt;br&gt;
Zrozumienie podstaw  teoretycznych Metody Elementów Skończonych w teorii liniowej sprężystości.&lt;br&gt;
Zrozumienie podstaw topologicznej optymalizacji konstrukcji.&lt;br&gt;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&lt;ol&gt;&lt;li&gt;Zastosowanie automatycznych systemów pomiarowych w statycznych i dynamicznych badaniach materiałowych. 
&lt;li&gt;Podstawy fotogrametrii w analizie przemieszczeń i odkształceń elementów konstrukcji.
&lt;li&gt;Elementy mechaniki pękania.
&lt;li&gt;Zjawiska mechaniczno-termiczne.
&lt;li&gt;Teoria MES w zadaniach statyki konstrukcji.
&lt;li&gt;Teoretyczne podstawy zadania minimalizacji podatności konstrukcji.&lt;/ol&gt;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Y.C,Fung, Podstawy Mechaniki Ciała Stałego. Warszawa 1969. PWN , Warszawa;&lt;br&gt;
[2] Mechanika Techniczna, PWN. tomy dotyczące mechaniki ciała stałego i konstrukcji;&lt;br&gt;
[3] M.P. Bendsøe, O. Sigmund,  Topology optimization, theory, methods and applications. Springer, Berlin,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PODOSWW1: </w:t>
      </w:r>
    </w:p>
    <w:p>
      <w:pPr/>
      <w:r>
        <w:rPr/>
        <w:t xml:space="preserve">							Przygotowanie do dalszych studiów w zakresie mechaniki konstrukcji, m.in. w ramach sekcji Teoria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PODOSWU1: </w:t>
      </w:r>
    </w:p>
    <w:p>
      <w:pPr/>
      <w:r>
        <w:rPr/>
        <w:t xml:space="preserve">							Umiejętność komputerowego modelowania deformacji wybranych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PODOSWK1: </w:t>
      </w:r>
    </w:p>
    <w:p>
      <w:pPr/>
      <w:r>
        <w:rPr/>
        <w:t xml:space="preserve">							Umiejętność pracy samodzielnej 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2025-05-19T15:08:21+02:00</dcterms:created>
  <dcterms:modified xsi:type="dcterms:W3CDTF">2025-05-19T15:08:21+02:00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