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decyzji w warunkach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Artur Krzemienowski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WDWR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przeciętnego studenta obejmuje:
- udział w wykładach: 15 x 2 godz. = 30 godz.,
- przygotowanie do kolejnych wykładów i realizacji projektu (przejrzenie materiałów z wykładu i dodatkowej literatury, próba rozwiązania miniproblemów sformułowanych na wykładzie): 7 godz.
- udział w konsultacjach związanych z realizacją projektu: 3 x 1 godz. = 3 godz. (zakładamy, że student korzysta średnio z konsultacji 3 razy w semestrze),
- realizacja zadań projektowych: 45 godz. (obejmuje także przygotowanie sprawozdania),
- przygotowanie do I kolokwium (rozwiązanie zadań przedkolokwialnych, udział w konsultacjach przedkolokwialnych): 10 godz. + 2 godz. = 12 godz.
- przygotowanie do II kolokwium (rozwiązanie zadań przedkolokwialnych, udział w konsultacjach przedkolokwialnych): 10 godz. + 2 godz. = 12 godz.
Łączny nakład pracy studenta wynosi: 30 + 7 + 3 + 45 + 10 + 10 = 115 godz., co odpowiada ok.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POPTY - podstawy optymalizacji i wspomagania decyzji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wprowadza w metodologię wyboru w warunkach niepewności i ryzyka. Celem wykładu jest przedstawienie nowoczesnych metodologii i technik wspomagania decyzji w warunkach ryzyka ze szczególnym uwzględnieniem interaktywnych technik programowania wielokryterialnego. Wykład koncentruje się na scenariuszowym przedstawieniu niepewności, co jest zgodne ze współczesną metodologią modelowania złożonych problemów. Umożliwia to stosowanie prostego aparatu z zakresu rachunku prawdopodobieństwa i jednocześnie bliższe powiązanie metodologii z klasyczną (deterministyczną) optymalizacją.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Strukturalizacja problemów decyzyjnych w warunkach niepewności: źródła niepewności wyników; scenariusze jako możliwe realizacje wyniku; wynik jako rozkład wartości, zmienna losowa, wartość oczekiwana, niepewność a ryzyko; drzewa decyzyjne i ich analiza; wartość informacji; modelowanie preferencji i wspomaganie decyzji; najprostsze kryteria wyboru.
Wielokryterialne modele wyboru w warunkach niepewności: wybór w warunkach niepewności jako wybór loterii o ustalonej liczbie losów; wielokryterialny model wyboru loterii, dominacja i efektywność symetryczna; techniki generacji rozwiązań symetrycznie efektywnych i modelowanie preferencji, porządkowa średnia ważona (OWA) i techniki jej implementacji; wybór w warunkach niepewności jako wybór zmiennej losowej; dominacja stochastyczna rzędu pierwszego, model wielokryterialny, oczekiwana użyteczność.
Miary ryzyka: miary dyspersji jako miary ryzyka, wariancja i odchylenie standardowe, odchylenie maksymalne, odchylenie przeciętne, średnia różnica; niesymetryczne miary ryzyka, odchylenia jednostronne; progowe miary ryzyka. Dwukryterialne modele wyboru z unikaniem ryzyka: maksymalizacja wartości oczekiwanej i minimalizacja miary ryzyka, analiza graficzna; stosowanie różnych miar ryzyka, ograniczona zgodność z maksymalizacją wyników i unikaniem ryzyka, liniowość modeli opartych na odchyleniu maksymalnym lub przeciętnym i średniej różnicy, związki z klasycznymi metodami optymalizacji portfela inwestycyjnego.
Wielokryterialne modele wyboru z unikaniem ryzyka: modelowanie awersji do ryzyka; wielokryterialny model wyboru loterii, dominacja i efektywność wyrównująca; techniki generacji rozwiązań wyrównująco efektywnych i modelowanie preferencji, wybór zmiennej losowej; dominacja stochastyczna rzędu drugiego, model wielokryterialny, oczekiwana użyteczność.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na podstawie kolokwiów i projektu.Ocena końcowa jest określona jako średnia ważona ocen z w/w części z wagami odpowiednio 60% i 40%.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    Ogryczak, W., Wspomaganie decyzji w warunkach ryzyka, preskrypt, 2002. 
Literatura uzupełniająca
    Clemen, R.T., Making Hard Decisions: An Introduction to Decision Analysis, PWS-KENT, 1990.
    Charette, R.N., Software Engineering Risk Analysis and Management, McGraw-Hill, 1989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http://eres.elka.pw.edu.pl/eres/wwersje$.startup?Z_ID_PRZEDMIOTU=WDWR&amp;Z_NR_WERSJI=2&amp;Z_CHK=36773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osobą odpowiedzialną powinien być:
dr inż. Adam Artur Krzemienowski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WDWR-W01: </w:t>
      </w:r>
    </w:p>
    <w:p>
      <w:pPr/>
      <w:r>
        <w:rPr/>
        <w:t xml:space="preserve">ma podstawową wiedzę z zakresu teorii decyzji w warunkach niepewności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WDWR-W02: </w:t>
      </w:r>
    </w:p>
    <w:p>
      <w:pPr/>
      <w:r>
        <w:rPr/>
        <w:t xml:space="preserve">ma uporządkowaną wiedzę na temat analitycznych modeli dla wspomagania decyzji w warunkach niepewności i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WDWR-W03: </w:t>
      </w:r>
    </w:p>
    <w:p>
      <w:pPr/>
      <w:r>
        <w:rPr/>
        <w:t xml:space="preserve">ma uporządkowaną wiedzę z zakresu metod wspomagania decyzji w warunkach ryzyka ze szczególnym uwzględnieniem metod interaktywnych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WDWR-U01: </w:t>
      </w:r>
    </w:p>
    <w:p>
      <w:pPr/>
      <w:r>
        <w:rPr/>
        <w:t xml:space="preserve">umie budować modele decyzyjne uwzględniające niepewność i ryzyko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</w:t>
      </w:r>
    </w:p>
    <w:p>
      <w:pPr>
        <w:keepNext w:val="1"/>
        <w:spacing w:after="10"/>
      </w:pPr>
      <w:r>
        <w:rPr>
          <w:b/>
          <w:bCs/>
        </w:rPr>
        <w:t xml:space="preserve">Efekt WDWR-U02: </w:t>
      </w:r>
    </w:p>
    <w:p>
      <w:pPr/>
      <w:r>
        <w:rPr/>
        <w:t xml:space="preserve">umie projektować procedury efektywnego modelowania i identyfikacji preferencji decydenta odnośnie ryzyka w komputerowym wspomaganiu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2024-05-18T21:33:48+02:00</dcterms:created>
  <dcterms:modified xsi:type="dcterms:W3CDTF">2024-05-18T21:33:48+02:00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