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złożonego problemu inżynierskiego lub badawczego, 
- doboru literatury i jej krytycznej analizy, 
- przygotowania prezentacji,
- wygłoszenia referatu,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napisanie referatu w formie artykułu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SDM1_U01: </w:t>
      </w:r>
    </w:p>
    <w:p>
      <w:pPr/>
      <w:r>
        <w:rPr/>
        <w:t xml:space="preserve">potrafi odnaleźć, właściwie dobrać i wykorzystać źródła informacji oraz przedstawić ich krytyczną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SDM1_U02: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SDM1_U03: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SDM1_K01: </w:t>
      </w:r>
    </w:p>
    <w:p>
      <w:pPr/>
      <w:r>
        <w:rPr/>
        <w:t xml:space="preserve">ma 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2024-05-18T20:03:58+02:00</dcterms:created>
  <dcterms:modified xsi:type="dcterms:W3CDTF">2024-05-18T20:03:58+02:00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