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w:t>
      </w:r>
    </w:p>
    <w:p>
      <w:pPr>
        <w:keepNext w:val="1"/>
        <w:spacing w:after="10"/>
      </w:pPr>
      <w:r>
        <w:rPr>
          <w:b/>
          <w:bCs/>
        </w:rPr>
        <w:t xml:space="preserve">Koordynator przedmiotu: </w:t>
      </w:r>
    </w:p>
    <w:p>
      <w:pPr>
        <w:spacing w:before="20" w:after="190"/>
      </w:pPr>
      <w:r>
        <w:rPr/>
        <w:t xml:space="preserve">Dr hab. inż. Elżbieta Jezierska (WIM)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ECTS=Wykład 30 godzin, konsultacje z zakresu 
zrozumienia zaawansowanych metod badawczych, przeprowadzenie 
egzaminu i sprawdzenie prac egzaminacyjnych.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 </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Wykłady ilustrowane autorskimi wynikami badań z wykorzystaniem 
analizy krystalograficznej.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2024-05-19T16:47:28+02:00</dcterms:created>
  <dcterms:modified xsi:type="dcterms:W3CDTF">2024-05-19T16:47:28+02:00</dcterms:modified>
</cp:coreProperties>
</file>

<file path=docProps/custom.xml><?xml version="1.0" encoding="utf-8"?>
<Properties xmlns="http://schemas.openxmlformats.org/officeDocument/2006/custom-properties" xmlns:vt="http://schemas.openxmlformats.org/officeDocument/2006/docPropsVTypes"/>
</file>