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w:t>
      </w:r>
    </w:p>
    <w:p>
      <w:pPr>
        <w:keepNext w:val="1"/>
        <w:spacing w:after="10"/>
      </w:pPr>
      <w:r>
        <w:rPr>
          <w:b/>
          <w:bCs/>
        </w:rPr>
        <w:t xml:space="preserve">Koordynator przedmiotu: </w:t>
      </w:r>
    </w:p>
    <w:p>
      <w:pPr>
        <w:spacing w:before="20" w:after="190"/>
      </w:pPr>
      <w:r>
        <w:rPr/>
        <w:t xml:space="preserve">Prof. nzw. dr hab. inż. Zbigniew Pakieła (WIM)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80, w tym obecność na wykładach - 30 godz., 5 godzin 
konsultacji, samodzielna praca studenta - 45 godz., 
(przygotowanie się do wykładów - zapoznanie się ze wskazaną 
literaturą, przygotowanie się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Prowadzenie konsultacji 5 
godzin. Razem 35 godzin - 1,4 punktu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 </w:t>
      </w:r>
    </w:p>
    <w:p>
      <w:pPr>
        <w:keepNext w:val="1"/>
        <w:spacing w:after="10"/>
      </w:pPr>
      <w:r>
        <w:rPr>
          <w:b/>
          <w:bCs/>
        </w:rPr>
        <w:t xml:space="preserve">Treści kształcenia: </w:t>
      </w:r>
    </w:p>
    <w:p>
      <w:pPr>
        <w:spacing w:before="20" w:after="190"/>
      </w:pPr>
      <w:r>
        <w:rPr/>
        <w:t xml:space="preserve">Plan przedmiotu: Wykład 1. Struktura i właściwości nano-
materiałów. Definicja nanomateriałów. Wpływ skali wymiarowej, 
wpływ powierzchni granicznych, właściwości mechaniczne, 
cieplne, chemiczne.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
materiałami. 7. Perspektywy rozwoju nanomateriałów. Nano-
modyfikacja. Nano-materiały do wytwarzania mikro-elementów. 
Prognozy rozwoju rynku nano-materiałów.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Literatura: Literatura źródłowa podawana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2024-05-19T13:35:24+02:00</dcterms:created>
  <dcterms:modified xsi:type="dcterms:W3CDTF">2024-05-19T13:35:24+02:00</dcterms:modified>
</cp:coreProperties>
</file>

<file path=docProps/custom.xml><?xml version="1.0" encoding="utf-8"?>
<Properties xmlns="http://schemas.openxmlformats.org/officeDocument/2006/custom-properties" xmlns:vt="http://schemas.openxmlformats.org/officeDocument/2006/docPropsVTypes"/>
</file>