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Zaawansowanych Metod Badania Materiałów  </w:t>
      </w:r>
    </w:p>
    <w:p>
      <w:pPr>
        <w:keepNext w:val="1"/>
        <w:spacing w:after="10"/>
      </w:pPr>
      <w:r>
        <w:rPr>
          <w:b/>
          <w:bCs/>
        </w:rPr>
        <w:t xml:space="preserve">Koordynator przedmiotu: </w:t>
      </w:r>
    </w:p>
    <w:p>
      <w:pPr>
        <w:spacing w:before="20" w:after="190"/>
      </w:pPr>
      <w:r>
        <w:rPr/>
        <w:t xml:space="preserve">Dr hab. inż. Elżbieta Jezierska (WIM)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Oprócz zajęć laboratoryjnych (30 godzin) wymagane jest 
przygotowanie do laboratorium, opracowanie sprawozdania z 
każdego laboratorium, obejmującego procedurę określonej metody 
badawczej, wyniki i wnioski (4 godz. tygodniowo). Razem 90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40 godzin obejmuje obowiązkowy udział w 
zajęciach, opracowanie problemu badawczego, konsultacje w 
ramach przedmiotu.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Wprowadzenie do ćwiczeń - 2 godziny, ćwiczenia w laboratorium 28 
godzin, przygotowanie do ćwiczeń laboratoryjnych 15 godzin, 
samodzielne rozwiązanie zadań problemowych i opracowanie 
sprawozdania 15 godzin. Razem 60 godzin= 2 punkty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Metody Badania 
Materiałów, Krystalografia Stosowana, Zaawansowane Metody 
Badania Materiałów-wykład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studentom aktualnej wiedzy w zakresie 
zaawansowanych metod badania materiałów, możliwości i 
ograniczeń różnych metod badawczych opartych na wykorzystaniu 
specjalistycznej aparatury do badań strukturalnych. Nabycie przez 
studentów umiejętności zaplanowania badań strukturalnych oraz ich 
opracowania. </w:t>
      </w:r>
    </w:p>
    <w:p>
      <w:pPr>
        <w:keepNext w:val="1"/>
        <w:spacing w:after="10"/>
      </w:pPr>
      <w:r>
        <w:rPr>
          <w:b/>
          <w:bCs/>
        </w:rPr>
        <w:t xml:space="preserve">Treści kształcenia: </w:t>
      </w:r>
    </w:p>
    <w:p>
      <w:pPr>
        <w:spacing w:before="20" w:after="190"/>
      </w:pPr>
      <w:r>
        <w:rPr/>
        <w:t xml:space="preserve">Metody mikroskopowe, dyfrakcyjne i spektroskopowe badania 
materiałów. Badania strukturalne materiałów nanokrystalicznych. 
Zastosowanie metod mikroskopowych, dyfrakcyjnych i 
spektroskopowych do zaawansowanych badań strukturalnych w 
inżynierii materiałowej. Zastosowanie sieci odwrotnej i konstrukcji 
sfery Ewalda do metod dyfrakcyjnych. Wykorzystanie czynnika 
strukturalnego do badania przemian strukturalnych. Rentgenowska 
analiza fazowa. Precyzyjny pomiar parametru sieci i naprężeń. 
Mikroanaliza rentgenowska (faloworozdzielcza i energorozdzielcza). 
Dyfrakcja elektronów; badanie koherencji wydzieleń. Określanie 
wielkości krystalitów. Dyfrakcja na strukturach uporządkowanych 
(TEM). Mikroskopia elektronowa w badaniu warstw epitaksjalnych. 
Określanie stopnia niedopasowania warstw epitaksjalnych.  </w:t>
      </w:r>
    </w:p>
    <w:p>
      <w:pPr>
        <w:keepNext w:val="1"/>
        <w:spacing w:after="10"/>
      </w:pPr>
      <w:r>
        <w:rPr>
          <w:b/>
          <w:bCs/>
        </w:rPr>
        <w:t xml:space="preserve">Metody oceny: </w:t>
      </w:r>
    </w:p>
    <w:p>
      <w:pPr>
        <w:spacing w:before="20" w:after="190"/>
      </w:pPr>
      <w:r>
        <w:rPr/>
        <w:t xml:space="preserve">Zaliczenie wszystkich laboratoriów z pozytywną oceną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Jaźwiński, Instrumentalne metody badań materiałów, 
Wydawnictwa Politechniki Warszawskiej, Warszawa 1988. Z. 
Bojarski, H. Habla, M. Surowiec, Materiały do nauki krystalografii, 
PWN, Warszawa 1986. Z. Bojarski, H. Habla, M. Surowiec, K. 
Stróż, Krystalografia, PWN, Warszawa 1996. L.A. Dobrzański, E. 
Hajduczek, Mikroskopia świetlna i elektronowa, PWN, Warszawa 
1987. Z. Bojarski, E. Łągiewka, Rentgenowska analiza strukturalna, 
PWN, Warszawa 1988.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Laboratoria odbywają się z podziałem na grupy w salach 
laboratoryjnych oraz w pracowniach ze specjalistyczną aparaturą. </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2024-05-19T17:39:56+02:00</dcterms:created>
  <dcterms:modified xsi:type="dcterms:W3CDTF">2024-05-19T17:39:56+02:00</dcterms:modified>
</cp:coreProperties>
</file>

<file path=docProps/custom.xml><?xml version="1.0" encoding="utf-8"?>
<Properties xmlns="http://schemas.openxmlformats.org/officeDocument/2006/custom-properties" xmlns:vt="http://schemas.openxmlformats.org/officeDocument/2006/docPropsVTypes"/>
</file>