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Synteza nowoczesnych materiałów wysokoenergetycznych i formy użytkowe</w:t>
      </w:r>
    </w:p>
    <w:p>
      <w:pPr>
        <w:keepNext w:val="1"/>
        <w:spacing w:after="10"/>
      </w:pPr>
      <w:r>
        <w:rPr>
          <w:b/>
          <w:bCs/>
        </w:rPr>
        <w:t xml:space="preserve">Koordynator przedmiotu: </w:t>
      </w:r>
    </w:p>
    <w:p>
      <w:pPr>
        <w:spacing w:before="20" w:after="190"/>
      </w:pPr>
      <w:r>
        <w:rPr/>
        <w:t xml:space="preserve">dr inż. P. Maksimowski, dr inż. W. Pawłowski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 h, w tym:
a)	obecność na wykładzie – 30 h
2.	przygotowanie do kolokwium i obecność na kolokwium – 20 h
Razem nakład pracy studenta: 30 h + 20 h = 50 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wykładzie – 30 h,
2. Obecność na kolokwiach – 3 h
Razem: 33 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wykładu będzie zapoznanie studentów z syntezą i właściwościami 
nowoczesnych materiałów wysokoenergetycznych jak również zapoznanie 
słuchaczy z zasadami doboru MW w zależności od ich przeznaczenia, 
metodami elaboracji amunicji, przygotowania układów wybuchowych do 
konkretnych celów oraz przepisów określających klasyfikację i regulujących 
zasady transportu wyrobów wybuchowych. </w:t>
      </w:r>
    </w:p>
    <w:p>
      <w:pPr>
        <w:keepNext w:val="1"/>
        <w:spacing w:after="10"/>
      </w:pPr>
      <w:r>
        <w:rPr>
          <w:b/>
          <w:bCs/>
        </w:rPr>
        <w:t xml:space="preserve">Treści kształcenia: </w:t>
      </w:r>
    </w:p>
    <w:p>
      <w:pPr>
        <w:spacing w:before="20" w:after="190"/>
      </w:pPr>
      <w:r>
        <w:rPr/>
        <w:t xml:space="preserve">Plan przedmiotu: 
1.  Termostabilne materiały wybuchowe                                 3 h 
a.  Wprowadzenie grupy aminowej 
b.  Tworzenie soli 
c.  Kondensacja z pierścieniem triazolowym  
2. Materiały wybuchowe o wysokich parametrach detonacyjnych              3 h 
a.  Zastąpienie grup nitrowych przez grupy furoksanowe 
b.  Wprowadzenie grup SF 5  do nitrozwiązków 
c.  Naprężone związki klatkowe 
3. Materiały wybuchowe o niskiej temperaturze topnienia                 1 h 
a.  1,3,3-Trinitroazetidine (TNAZ) 
b.  4,4’-Dinitro-3,3’-bifurazan (DNBF)  
4. Energetyczne lepiszcza i plastyfikatory                                           4 h 
a.  Polinitropolifenyleny (PNPs) 
b.  Poliazydek glicydylu (GAP) 
c.  Nitrowany HTPB 
d.  Poli-azotanometylo-metyloksetan (Poly-NIMMO) 
e.  Azotan poliglicydu (Poly-GLYN)  
f.  Alifatyczne nitroaminy z grupami azotanowymi (NENA) 
5. Małowrażliwe materiały wybuchowe                                           2 h 
a.  Nitrotriazolone (NTO) 
b.  Dinitroglycoluril (DINGU) 
c.  Trans1,4,5,8-tetranitro-1,4,5,8-tetraazadecaline (TNAD) 
6. Materiały wysokoenergetyczne syntetyzowane przy użyciu pięciotlenku diazotu    
(N 2 O 5 )                                                                                          2 h 
7. Metody przygotowania ładunków i środków wybuchowych                            4 h 
8. Rodzaje układów i ładunków wybuchowych – badanie i wykorzystanie         5 h 
9. Zasady bezpieczeństwa przy obchodzeniu się z układami wybuchowymi        2 h 
10. Klasyfikacja wyrobów wybuchowych oraz zasady ich transportu zgodnie z 
Umową Europejską ADR                                                                                2 h 
11. Wyroby i technologie MW, na których wytwarzanie i obrót wymagana jest 
koncesja                                                                                                           1 h 
12. Wymagania systemu oceny jakości produkcji MW                        </w:t>
      </w:r>
    </w:p>
    <w:p>
      <w:pPr>
        <w:keepNext w:val="1"/>
        <w:spacing w:after="10"/>
      </w:pPr>
      <w:r>
        <w:rPr>
          <w:b/>
          <w:bCs/>
        </w:rPr>
        <w:t xml:space="preserve">Metody oceny: </w:t>
      </w:r>
    </w:p>
    <w:p>
      <w:pPr>
        <w:spacing w:before="20" w:after="190"/>
      </w:pPr>
      <w:r>
        <w:rPr/>
        <w:t xml:space="preserve">Egzamin pisemny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A.Maranda, J.Nowaczewski, M.Syczewski, J.Statuch, B.Zygmunt, Chemia 
Stosowana – materiały wybuchowe – teoria, technologia zastosowanie, skrypt 
WAT, Warszawa, 1985. 
2. Umowa europejska dotycząca między narodowego przewozu drogowego 
towarów niebezpiecznych (ADR), Europejska Komisja Gospodarcza Komitet 
Transportu Wewnętrznego, ONZ. 
3. Dz.U. 2001r. nr 145, poz. 1625. 
4. Dz.U. 2001r. nr 152, poz. 1730.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 </w:t>
      </w:r>
    </w:p>
    <w:p>
      <w:pPr/>
      <w:r>
        <w:rPr/>
        <w:t xml:space="preserve">ma ogólną wiedzę na temat syntezy nowoczesnych materiałów wysokoenergetycznych w tym: termostabilnych materiały wybuchowe, materiałów wybuchowych o wysokich parametrach detonacyjnych, materiałów wybuchowych o niskiej temperaturze topnienia, małowrażliwych materiałów wybuchowych oraz energetycznych lepiszcz i plastyfikatorów.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K_W03, K_W06, K_W08</w:t>
      </w:r>
    </w:p>
    <w:p>
      <w:pPr>
        <w:spacing w:before="20" w:after="190"/>
      </w:pPr>
      <w:r>
        <w:rPr>
          <w:b/>
          <w:bCs/>
        </w:rPr>
        <w:t xml:space="preserve">Powiązane efekty obszarowe: </w:t>
      </w:r>
      <w:r>
        <w:rPr/>
        <w:t xml:space="preserve">T2A_W01, T2A_W02, T2A_W01, T2A_W04, T2A_W03</w:t>
      </w:r>
    </w:p>
    <w:p>
      <w:pPr>
        <w:keepNext w:val="1"/>
        <w:spacing w:after="10"/>
      </w:pPr>
      <w:r>
        <w:rPr>
          <w:b/>
          <w:bCs/>
        </w:rPr>
        <w:t xml:space="preserve">Efekt W02: </w:t>
      </w:r>
    </w:p>
    <w:p>
      <w:pPr/>
      <w:r>
        <w:rPr/>
        <w:t xml:space="preserve">ma ogólną wiedzę teoretyczną na temat metod przygotowania ładunków i środków wybuchowych, znać zasady bezpieczeństwa przy obchodzeniu się z układami wybuchowymi oraz klasyfikację wyrobów wybuchowych i zasady ich transportu zgodnie z Umową Europejską ADR</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K_W06, K_W09, K_W10, K_W11</w:t>
      </w:r>
    </w:p>
    <w:p>
      <w:pPr>
        <w:spacing w:before="20" w:after="190"/>
      </w:pPr>
      <w:r>
        <w:rPr>
          <w:b/>
          <w:bCs/>
        </w:rPr>
        <w:t xml:space="preserve">Powiązane efekty obszarowe: </w:t>
      </w:r>
      <w:r>
        <w:rPr/>
        <w:t xml:space="preserve">T2A_W01, T2A_W04, T2A_W02, T2A_W02, T2A_W04, T2A_W02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przeprowadzić obliczania parametrów  charakteryzujących formy użytkowe materiałów wybuchowych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T2A_U08, T2A_U09</w:t>
      </w:r>
    </w:p>
    <w:p>
      <w:pPr>
        <w:keepNext w:val="1"/>
        <w:spacing w:after="10"/>
      </w:pPr>
      <w:r>
        <w:rPr>
          <w:b/>
          <w:bCs/>
        </w:rPr>
        <w:t xml:space="preserve">Efekt U02: </w:t>
      </w:r>
    </w:p>
    <w:p>
      <w:pPr/>
      <w:r>
        <w:rPr/>
        <w:t xml:space="preserve">posiada umiejętność korzystania ze źródeł literaturowych oraz zasobów internetowych dotyczących  rozwiązywanego zadania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T1A_U05, T2A_U03, T2A_U06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studiując wybrane zagadnienie oraz wybierając najważniejsze elementy w celu publicznego ich zaprezentowania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T2A_K01, T2A_K02,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2024-05-19T22:24:18+02:00</dcterms:created>
  <dcterms:modified xsi:type="dcterms:W3CDTF">2024-05-19T22:24:18+02:00</dcterms:modified>
</cp:coreProperties>
</file>

<file path=docProps/custom.xml><?xml version="1.0" encoding="utf-8"?>
<Properties xmlns="http://schemas.openxmlformats.org/officeDocument/2006/custom-properties" xmlns:vt="http://schemas.openxmlformats.org/officeDocument/2006/docPropsVTypes"/>
</file>