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 dr inż.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Na końcu każdego wykładu zadawane jest słuchaczom pytanie związane z treścią wykładu; na odpowiedź przeznaczonych jest ostatnich 5 minut. Ocena końcowa jest składową ocen cząstkowych. Brana jest też pod uwagę frekwencja na wykładach. 3 nieusprawiedliwione nieobecności skutkują nie zaliczeniem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Ma uporządkowaną, podbudowaną teoretycznie wiedzę ogólną, obejmującą kluczowe zagadnienia z zakresu architektury i urbanistyki światowej, szczególnie europejskiej, właściwą dla studiowanego kierunku studiów.
Ma podstawową wiedzę w zakresie kierunków studiów powiązanych z Historią Architektury i Urbanistyki, jak: historia ogólna, społeczna, gospodarcza, kultury, techniki, estetyka, zasady projektowania architektury i urbanistyki, prawo budowlane (w ujęciu historycznym)</w:t>
      </w:r>
    </w:p>
    <w:p>
      <w:pPr>
        <w:spacing w:before="60"/>
      </w:pPr>
      <w:r>
        <w:rPr/>
        <w:t xml:space="preserve">Weryfikacja: </w:t>
      </w:r>
    </w:p>
    <w:p>
      <w:pPr>
        <w:spacing w:before="20" w:after="190"/>
      </w:pPr>
      <w:r>
        <w:rPr/>
        <w:t xml:space="preserve">Na zakończenie każdego wykładu zadawane jest słuchaczom pytanie związane z treścią wykładu; na odpowiedź przeznaczonych jest ostatnich 5 minut.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pozyskiwać informacje z literatury dotyczącej przedmiotu, baz danych oraz właściwie dobranych źródeł; potrafi integrować uzyskane informacje, dokonywać ich interpretacji i uzasadniać opinie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i rozumie pozatechniczne aspekty działalności inżynierskiej, w tym wpływu na środowisko kulturowe i związanej z tym odpowiedzialności za podejmowane decyzje architektoniczne i urbanistyczne, ważne dla ładu przestrzennego i zachowania dziedzictwa kulturowego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Po każdym wykładzie przeprowadzany jest kilkuminutowy sprawdzian z wybranych zagadnień omawianych w trakcie wykładu</w:t>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6" w:name="_Toc6"/>
      <w:r>
        <w:t>Profil ogólnoakademicki - umiejętności</w:t>
      </w:r>
      <w:bookmarkEnd w:id="6"/>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2026-07-28T10:46:00+02:00</dcterms:created>
  <dcterms:modified xsi:type="dcterms:W3CDTF">2026-07-28T10:46:00+02:00</dcterms:modified>
</cp:coreProperties>
</file>

<file path=docProps/custom.xml><?xml version="1.0" encoding="utf-8"?>
<Properties xmlns="http://schemas.openxmlformats.org/officeDocument/2006/custom-properties" xmlns:vt="http://schemas.openxmlformats.org/officeDocument/2006/docPropsVTypes"/>
</file>