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Kulturowe aspekty procesów rewitalizacji</w:t>
      </w:r>
    </w:p>
    <w:p>
      <w:pPr>
        <w:keepNext w:val="1"/>
        <w:spacing w:after="10"/>
      </w:pPr>
      <w:r>
        <w:rPr>
          <w:b/>
          <w:bCs/>
        </w:rPr>
        <w:t xml:space="preserve">Koordynator przedmiotu: </w:t>
      </w:r>
    </w:p>
    <w:p>
      <w:pPr>
        <w:spacing w:before="20" w:after="190"/>
      </w:pPr>
      <w:r>
        <w:rPr/>
        <w:t xml:space="preserve">prof. nzw. dr hab. inż. Danuta Kłosek-Kozłowska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historii architektury.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oceny wartości krajobrazu miejskiego, zapoznanie z metodyką ochrony dziedzictwa kulturowego w planach miejscowych.</w:t>
      </w:r>
    </w:p>
    <w:p>
      <w:pPr>
        <w:keepNext w:val="1"/>
        <w:spacing w:after="10"/>
      </w:pPr>
      <w:r>
        <w:rPr>
          <w:b/>
          <w:bCs/>
        </w:rPr>
        <w:t xml:space="preserve">Treści kształcenia: </w:t>
      </w:r>
    </w:p>
    <w:p>
      <w:pPr>
        <w:spacing w:before="20" w:after="190"/>
      </w:pPr>
      <w:r>
        <w:rPr/>
        <w:t xml:space="preserve">Miasto jako przedmiot ochrony. Zabytek, dobro kultury, dziedzictwo; 
Ochrona,rewaloryzacja i rewitalizacja a wartości dziedzictwa w planowaniu miejscowym.
Legislacja w zakresie ochrony dziedzictwa miast - prawo polskie i międzynarodowe. 
Polskie obiekty na Liście UNESCO. Przykłady rewitalizacji –LPR - w Polsce i zagranicą. Partycypacja społeczna w ochronie miast. Studia, dokumentacja i plany miejscowe.
</w:t>
      </w:r>
    </w:p>
    <w:p>
      <w:pPr>
        <w:keepNext w:val="1"/>
        <w:spacing w:after="10"/>
      </w:pPr>
      <w:r>
        <w:rPr>
          <w:b/>
          <w:bCs/>
        </w:rPr>
        <w:t xml:space="preserve">Metody oceny: </w:t>
      </w:r>
    </w:p>
    <w:p>
      <w:pPr>
        <w:spacing w:before="20" w:after="190"/>
      </w:pPr>
      <w:r>
        <w:rPr/>
        <w:t xml:space="preserve">2 kolokwia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Kłosek-Kozłowska, Ochrona wartości dziedzictwa miast a urbanistyka, Warszawa 2007.
D. Kłosek-Kozłowska, Dziedzictwo kulturowe w zagospodarowaniu małych miast z charakterem. Sektor kultury kreatywnym źródłem innowacji, w: Specyfika odnowy małych i średnich miast w Polsce, Kraków 2009
O zabytkach, Opieka, ochrona, konserwacja, Warszawa 2005
Wykluczenie, rewitalizacja, spójność społeczna, red. L. Frąckiewicz, Katowice-Warszawa 2004
Monumenta conservanda sunt, Wrocław 2001
W Pęski, Zarządzanie zrównoważonym rozwojem miast, Warszawa 1999
W. Ostrowski, Wstęp do historii budowy miast. Miasto i środowisko, Warszawa 1996 
B. Rymaszewski, Klucze ochrony zabytków w Polsce, Warszawa 1992
E. Małachowicz, Ochrona środowiska kulturowego,Warszawa1988.
Vademecum konserwatora zabytków, Biuletyn ICOMOS, Warszawa 1996
Vademecum konserwatora zabytków, Biuletyn PKN ICOMOS, Warszawa 1997
Ochrona i konserwacja dóbr kultury w Polsce 1944-1989, Warszawa 2005
K. Skalski, O budowie systemu rewitalizacji dawnych dzielnic miejskich, Kraków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Cel przedmiotu: zwrócenie uwagi na inspirującą rolę dziedzictwa kulturowego we współczesnym projektowaniu architektonicznym i urbanistycznym; na społeczny aspekt historycznych analiz struktury miasta i ich przełożenie na sposób kształtowania przestrzeni publicznych i zasady ochrony dziedzictwa miast w procesie rewaloryzacji i rewitalizacji obszarów zdegradowanych
W świecie płynnej ponowoczesności społeczeństwa informacyjnego wyjątkowe znaczenie ma dziś sztuka dialogu w kontekście wartości dziedzictwa miast, ich identyfikacji i ochrony. Dzięki zróżnicowanym postawom aktorów sceny miejskiej kieruje społeczny dyskurs ku wątkom silnie angażującym, przez co najbardziej trwałym, które pozwalają na kreowanie obywatelskiej odpowiedzialności za ochronę wartości dziedzictwa miast. 
Kluczem do tego dialogu jest umiejętność czytania miasta, oparta na wiedzy historyczno-urbanistycznej – co starałam się wykazać w swoich pracach naukowych, badaniach oraz projektach i ekspertyzach z zakresu rewaloryzacji i rewitalizacji struktury przestrzennej dawnych miast 
</w:t>
      </w:r>
    </w:p>
    <w:p>
      <w:pPr>
        <w:spacing w:before="60"/>
      </w:pPr>
      <w:r>
        <w:rPr/>
        <w:t xml:space="preserve">Weryfikacja: </w:t>
      </w:r>
    </w:p>
    <w:p>
      <w:pPr>
        <w:spacing w:before="20" w:after="190"/>
      </w:pPr>
      <w:r>
        <w:rPr/>
        <w:t xml:space="preserve">Kolokwium zaliczeniowe po zakończeniu pełnego syklu wykładowego. Seminaryjna część wykładu. Efektywne notowanie przekazywanej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2026-07-10T02:12:36+02:00</dcterms:created>
  <dcterms:modified xsi:type="dcterms:W3CDTF">2026-07-10T02:12:36+02:00</dcterms:modified>
</cp:coreProperties>
</file>

<file path=docProps/custom.xml><?xml version="1.0" encoding="utf-8"?>
<Properties xmlns="http://schemas.openxmlformats.org/officeDocument/2006/custom-properties" xmlns:vt="http://schemas.openxmlformats.org/officeDocument/2006/docPropsVTypes"/>
</file>