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wydania map</w:t>
      </w:r>
    </w:p>
    <w:p>
      <w:pPr>
        <w:keepNext w:val="1"/>
        <w:spacing w:after="10"/>
      </w:pPr>
      <w:r>
        <w:rPr>
          <w:b/>
          <w:bCs/>
        </w:rPr>
        <w:t xml:space="preserve">Koordynator przedmiotu: </w:t>
      </w:r>
    </w:p>
    <w:p>
      <w:pPr>
        <w:spacing w:before="20" w:after="190"/>
      </w:pPr>
      <w:r>
        <w:rPr/>
        <w:t xml:space="preserve">dr inż. Paweł Kowalski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GK.SMS230</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- 17 godziny, w tym:
a) uczestnictwo w wykładach - 15 godzin
b) uczestnictwo w egzaminie - 2 godziny.
2) Praca własna studenta - 33 godzin, w tym:
a) przygotowanie do egzaminu - 33 godziny.
RAZEM: 50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0,7 punktu ECTS - liczba godzin kontaktowych - 17 godziny, w tym:
a) uczestnictwo w wykładach - 15 godzin
b) uczestnictwo w egzaminie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kartografii i topografii, redagowania map przeglądowych i tematycznych. Znajomość funkcji i zastosowań baz danych i systemów informacji przestrzennej.</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z tradycyjnymi liniami  reprodukcji kartograficznej i nowoczesnymi technologiami publikacji map i geoprzedstawień.</w:t>
      </w:r>
    </w:p>
    <w:p>
      <w:pPr>
        <w:keepNext w:val="1"/>
        <w:spacing w:after="10"/>
      </w:pPr>
      <w:r>
        <w:rPr>
          <w:b/>
          <w:bCs/>
        </w:rPr>
        <w:t xml:space="preserve">Treści kształcenia: </w:t>
      </w:r>
    </w:p>
    <w:p>
      <w:pPr>
        <w:spacing w:before="20" w:after="190"/>
      </w:pPr>
      <w:r>
        <w:rPr/>
        <w:t xml:space="preserve">Wykład: technologie zapisu obrazu, technologie graficznego przetwarzania obrazu, technologie odtwarzania tonów i barw na mapie, technologie DTP (Desktop Publishing), technologie drukarskie: analogowa i cyfrowa, kartografia multimedialna, publikacje internetowe.
</w:t>
      </w:r>
    </w:p>
    <w:p>
      <w:pPr>
        <w:keepNext w:val="1"/>
        <w:spacing w:after="10"/>
      </w:pPr>
      <w:r>
        <w:rPr>
          <w:b/>
          <w:bCs/>
        </w:rPr>
        <w:t xml:space="preserve">Metody oceny: </w:t>
      </w:r>
    </w:p>
    <w:p>
      <w:pPr>
        <w:spacing w:before="20" w:after="190"/>
      </w:pPr>
      <w:r>
        <w:rPr/>
        <w:t xml:space="preserve">Do zaliczenia egzaminu wymagane jest uzyskanie minimum 60% punktów.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Materiały seminaryjne, publikacje internetowe oraz ilustracje z wykładów.
2. Osowski F., Brokman L., 1984, Elementy kartografii. Redagowanie i reprodukcja map.  PPWK
3. Morrison J., Sale R., Robinson A., 1988, Podstawy kartografii.  Wydawnictwo Naukowe PWN
4. Kraak M-J, Ormeling F., 1998, Kartografia. Wizualizacja danych przestrzennych. Wydawnictwo Naukowe PWN, Warszawa
5. Kozieł Z. (red.),1998, Koncepcja mapy. Wyd. Uniwersytetu Mikołaja Kopernika
6. Goodchild M.F., Longley P.A., Rhind D.W., 2006, GIS Teoria i praktyka. PWN, Warszawa
7. Vozenilek V. 2005, Cartography for GIS  (Geovisualization and Map Communication).   Univerzita Palackeho v Olomuoci</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GK.SMS230_W1: </w:t>
      </w:r>
    </w:p>
    <w:p>
      <w:pPr/>
      <w:r>
        <w:rPr/>
        <w:t xml:space="preserve">zna metody i technologie pozyskiwania i przetwarzania obrazów rastrowych i danych wektorowych w procesach kartograficznych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 K_W06, K_W08</w:t>
      </w:r>
    </w:p>
    <w:p>
      <w:pPr>
        <w:spacing w:before="20" w:after="190"/>
      </w:pPr>
      <w:r>
        <w:rPr>
          <w:b/>
          <w:bCs/>
        </w:rPr>
        <w:t xml:space="preserve">Powiązane efekty obszarowe: </w:t>
      </w:r>
      <w:r>
        <w:rPr/>
        <w:t xml:space="preserve">T2A_W04, T2A_W07, T2A_W08, T2A_W09, T2A_W11, T2A_W04, T2A_W05, T2A_W07</w:t>
      </w:r>
    </w:p>
    <w:p>
      <w:pPr>
        <w:keepNext w:val="1"/>
        <w:spacing w:after="10"/>
      </w:pPr>
      <w:r>
        <w:rPr>
          <w:b/>
          <w:bCs/>
        </w:rPr>
        <w:t xml:space="preserve">Efekt GK.SMS230_W2: </w:t>
      </w:r>
    </w:p>
    <w:p>
      <w:pPr/>
      <w:r>
        <w:rPr/>
        <w:t xml:space="preserve">Zna przebieg procesów opracowania map na podstawie baz danych przestrzennych i procesów reprodukcji kartograficznej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K_W09, K_W13, K_W14</w:t>
      </w:r>
    </w:p>
    <w:p>
      <w:pPr>
        <w:spacing w:before="20" w:after="190"/>
      </w:pPr>
      <w:r>
        <w:rPr>
          <w:b/>
          <w:bCs/>
        </w:rPr>
        <w:t xml:space="preserve">Powiązane efekty obszarowe: </w:t>
      </w:r>
      <w:r>
        <w:rPr/>
        <w:t xml:space="preserve">T2A_W04, T2A_W10, T2A_W06, T2A_W07, T2A_W04, T2A_W07, T2A_W04, T2A_W05, T2A_W07</w:t>
      </w:r>
    </w:p>
    <w:p>
      <w:pPr>
        <w:keepNext w:val="1"/>
        <w:spacing w:after="10"/>
      </w:pPr>
      <w:r>
        <w:rPr>
          <w:b/>
          <w:bCs/>
        </w:rPr>
        <w:t xml:space="preserve">Efekt GK.SMS230_W3: </w:t>
      </w:r>
    </w:p>
    <w:p>
      <w:pPr/>
      <w:r>
        <w:rPr/>
        <w:t xml:space="preserve">Zna sposoby publikacji danych przestrzennych w internecie oraz techniki oraz narzędzia multimedialne stosowane w kartografii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K_W09, K_W13</w:t>
      </w:r>
    </w:p>
    <w:p>
      <w:pPr>
        <w:spacing w:before="20" w:after="190"/>
      </w:pPr>
      <w:r>
        <w:rPr>
          <w:b/>
          <w:bCs/>
        </w:rPr>
        <w:t xml:space="preserve">Powiązane efekty obszarowe: </w:t>
      </w:r>
      <w:r>
        <w:rPr/>
        <w:t xml:space="preserve">T2A_W04, T2A_W10, T2A_W06, T2A_W07, T2A_W04, T2A_W07</w:t>
      </w:r>
    </w:p>
    <w:p>
      <w:pPr>
        <w:pStyle w:val="Heading3"/>
      </w:pPr>
      <w:bookmarkStart w:id="3" w:name="_Toc3"/>
      <w:r>
        <w:t>Profil ogólnoakademicki - umiejętności</w:t>
      </w:r>
      <w:bookmarkEnd w:id="3"/>
    </w:p>
    <w:p>
      <w:pPr>
        <w:keepNext w:val="1"/>
        <w:spacing w:after="10"/>
      </w:pPr>
      <w:r>
        <w:rPr>
          <w:b/>
          <w:bCs/>
        </w:rPr>
        <w:t xml:space="preserve">Efekt GK.SMS230_U1: </w:t>
      </w:r>
    </w:p>
    <w:p>
      <w:pPr/>
      <w:r>
        <w:rPr/>
        <w:t xml:space="preserve">Potrafi zanalizować i ocenić dostępne materiały źródłowe, mapy i bazy danych referencyjnych i tematycznych pod kątem ich użyteczności w procesie opracowania i publikowania map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K_U01, K_U05, K_U12, K_U13</w:t>
      </w:r>
    </w:p>
    <w:p>
      <w:pPr>
        <w:spacing w:before="20" w:after="190"/>
      </w:pPr>
      <w:r>
        <w:rPr>
          <w:b/>
          <w:bCs/>
        </w:rPr>
        <w:t xml:space="preserve">Powiązane efekty obszarowe: </w:t>
      </w:r>
      <w:r>
        <w:rPr/>
        <w:t xml:space="preserve">T2A_U01, T2A_U10, T2A_U11, T2A_U05, T2A_U07, T2A_U14, T2A_U16, T2A_U19, T2A_U15</w:t>
      </w:r>
    </w:p>
    <w:p>
      <w:pPr>
        <w:keepNext w:val="1"/>
        <w:spacing w:after="10"/>
      </w:pPr>
      <w:r>
        <w:rPr>
          <w:b/>
          <w:bCs/>
        </w:rPr>
        <w:t xml:space="preserve">Efekt GK.SMS230_U2: </w:t>
      </w:r>
    </w:p>
    <w:p>
      <w:pPr/>
      <w:r>
        <w:rPr/>
        <w:t xml:space="preserve">Potrafi opracowań koncepcję publikacji kartograficznej z wykorzystaniem aplikacji graficznych i w środowisku systemów informacji przestrzennej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K_U20, K_U21</w:t>
      </w:r>
    </w:p>
    <w:p>
      <w:pPr>
        <w:spacing w:before="20" w:after="190"/>
      </w:pPr>
      <w:r>
        <w:rPr>
          <w:b/>
          <w:bCs/>
        </w:rPr>
        <w:t xml:space="preserve">Powiązane efekty obszarowe: </w:t>
      </w:r>
      <w:r>
        <w:rPr/>
        <w:t xml:space="preserve">T2A_U08, T2A_U10, T2A_U12, T2A_U13, T2A_U16, T2A_U17, T2A_U19, T2A_U15, T2A_U07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2024-05-17T10:25:27+02:00</dcterms:created>
  <dcterms:modified xsi:type="dcterms:W3CDTF">2024-05-17T10:25:27+02:00</dcterms:modified>
</cp:coreProperties>
</file>

<file path=docProps/custom.xml><?xml version="1.0" encoding="utf-8"?>
<Properties xmlns="http://schemas.openxmlformats.org/officeDocument/2006/custom-properties" xmlns:vt="http://schemas.openxmlformats.org/officeDocument/2006/docPropsVTypes"/>
</file>