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
c) konsultacje - 2 godziny
2) Praca własna studenta - 18 godzin, w tym:
a) przygotowanie do zaliczenia - 8 godzin
b) przygotowanie się do ćwiczeń - 6 godzin
c) studia literaturowe - 4 godziny
3) RAZEM - 50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- 32 godziny, w tym:
a) uczestnictwo w wykładach - 15 godzin
b) uczestnictwo w ćwiczeniach - 15 godzin
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punkty ECTS - 23 godziny, w tym:
a) uczestnictwo w ćwiczeniach - 15 godzin
b) konsultacje - 2 godziny
c) przygotowanie się do ćwiczeń - 6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genezą powierzchni Ziemi i procesami ją modyfikującymi. Zapoznanie z obiegiem wody w przyrodzie oraz przejawami wody na powierzchni. Nauczenie studentów z konstruowaniem map tematycznych i modelowaniem procesów zachodzących w przyrodzie.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
Procesy morfodynamiczne. Środowiska sedymentacyjne: glacjalne, fluwioglacjalne, fluwialne, eoliczne, krasowe. Charakterystyka form rzeźby typowych dla wybranych typów krajobrazów. Przedstawienie form rzeźby na mapach.     
Projekt: 
Dział wodny zlewni górskiej. Dział wodny zlewni młodoglacjalnej. Morfometria jeziora. Przekrój poprzeczny rzeki w profilu wodowskazowym i jego stany charakterystyczne. Mapa hydroizohips. Mapa hydroizobat. Mapa gęstości sieci rzecznej. 
Analiza map terenów o różnym typie rzeźby: eolicznej, fluwialnej, glacjalnej górskiej, młodoglacjalnej. Mapa zagrożeń procesami osuwiskowymi.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
2. Bajkiewicz-Grabowska E., Magnuszewski A. Przewodnik do ćwiczeń z hydrologii ogólnej. PWN.  
3. Mycielska-Dowgiałło E., Korotaj-Kokoszczyńska M., Smolska E. 2001. Geomorfologia dynamiczna i stosowana. WGiSR UW. Warszawa. 
4. Migoń P. Geomorfologia.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GK.SMS231_W01 : </w:t>
      </w:r>
    </w:p>
    <w:p>
      <w:pPr/>
      <w:r>
        <w:rPr/>
        <w:t xml:space="preserve">zna podstawy geomorfologii w zakresie niezbędnym do wyjaśnienia przestrzennego zróżnicowania form rzeźby i procesów geomorfologicznych na Ziemi (wietrzeniowych, stokowych, fluwialnych, glacjalnych, eolicznych, peryglacjalnych)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GK.SMS231_W02: </w:t>
      </w:r>
    </w:p>
    <w:p>
      <w:pPr/>
      <w:r>
        <w:rPr/>
        <w:t xml:space="preserve">zna warunki występowania wody w przyrodzie i główne zagrożenia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GK.SMS231_W03 : </w:t>
      </w:r>
    </w:p>
    <w:p>
      <w:pPr/>
      <w:r>
        <w:rPr/>
        <w:t xml:space="preserve">zna i rozumie przestrzenne zróżnicowanie oraz dynamikę abiotycznego środowiska przyrodniczego, ich przyczyny i uwarunkowania w skali lokalnej, regionalnej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GK.SMS231_W04 : </w:t>
      </w:r>
    </w:p>
    <w:p>
      <w:pPr/>
      <w:r>
        <w:rPr/>
        <w:t xml:space="preserve">ma podstawową wiedzę o analizie i wizualizacji danych geomorfologicznych i hydrologicznych; zna podstawowe technologie służące do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GK.SMS231_U01 : </w:t>
      </w:r>
    </w:p>
    <w:p>
      <w:pPr/>
      <w:r>
        <w:rPr/>
        <w:t xml:space="preserve">potrafi wykorzystać podstawową wiedzę teoretyczną i dostępne źródła informacji, w tym źródła elektroniczne oraz pozyskać dane w celu analizowania konkretnych procesów i zjawisk, wykazując umiejętność poprawnego wnioskowania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GK.SMS231_U02 : </w:t>
      </w:r>
    </w:p>
    <w:p>
      <w:pPr/>
      <w:r>
        <w:rPr/>
        <w:t xml:space="preserve">rozumie literaturę z zakresu geomorfologii i hydrologii w języku polskim; czyta ze zrozumieniem nieskomplikowane teksty naukowe w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GK.SMS231_U03 : </w:t>
      </w:r>
    </w:p>
    <w:p>
      <w:pPr/>
      <w:r>
        <w:rPr/>
        <w:t xml:space="preserve">potrafi interpretować zjawiska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GK.SMS231_U04 : </w:t>
      </w:r>
    </w:p>
    <w:p>
      <w:pPr/>
      <w:r>
        <w:rPr/>
        <w:t xml:space="preserve">potrafi określić wpływ człowieka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GK.SMS231_K01 : </w:t>
      </w:r>
    </w:p>
    <w:p>
      <w:pPr/>
      <w:r>
        <w:rPr/>
        <w:t xml:space="preserve">rozumie pozatechniczne aspekty i skutki działalności inżynierskiej,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GK.SMS231_K02 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2026-01-14T16:08:14+01:00</dcterms:created>
  <dcterms:modified xsi:type="dcterms:W3CDTF">2026-01-14T16:08:14+01:00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