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Janina Zaczek-Peplinska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GK.NIK503</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- 39 godzin, w tym:
a) udział w wykładach - 16 godzin,
b) udział w konsultacjach związanych z realizacją projektów - 5 godzin,
c) udział w ćwiczeniach projektowych - 16 godzin,
d) obecność na egzaminie - 2 godziny
2) Praca własna studenta - 61 godzin, w tym:
a) zapoznanie się ze wskazaną literaturą - 8 godzin,
b) przygotowanie do ćwiczeń projektowych - 16 godzin,
c) dokończenie (w domu) sprawozdań z ćwiczeń projektowych - 17 godzin,
d) przygotowanie do egzaminu - 20 godzin,
Razem nakład pracy studenta - 100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- 39 godzin, w tym:
a) udział w wykładach - 16 godzin,
b) udział w konsultacjach związanych z realizacją projektów - 5 godzin,
c) udział w ćwiczeniach projektowych - 16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zajęcia o charakterze praktycznym - 57 godzin, w tym:
1) udział w ćwiczeniach projektowych - 16 godz.
2) przygotowanie do ćwiczeń projektowych - 16 godz.
3) dokończenie (w domu) sprawozdań z ćwiczeń projektowych - 17 godz.
4) udział w konsultacjach związanych z realizacją projektów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z semestrów niższych: 
Podstawy Geodezji, Geodezyjne pomiary szczegółowe, Rachunek wyrównawczy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Wykład:
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Ćwiczenia projektowe::
Geodezyjne opracowanie wycinka planu zagospodarowania przestrzennego, w tym fragmentu projektu obiektu budowlanego.
Opracowanie projektu osnowy realizacyjnej. 
Obliczenie współrzędnych charakterystycznych punktów obiektu i przygotowanie danych do tyczenia. 
Wykonanie szkiców dokumentacyjnych. 
Opracowanie danych lokalizacyjnych dla wybranych urządzeń podziemnych. 
Wykrywanie i pomiar elementów uzbrojenia podziemnego terenu w pasie ulicy, opracowanie wyników przy użyciu edytora typu CAD. 
</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
7. PRAWO GEODEZYJNE I KARTOGRAFICZNE, ustawa z dnia 17 maja 1989, tekst jednolity Dziennik Ustaw 2005, nr 240 poz.2027 z późniejszymi zmianami i standardy techniczne (Rozporządzenia) obowiązujące w geodezji 
8. PRAWO BUDOWLANE, ustawa z dnia 7 lipca1994, tekst jednolity Dziennik Ustaw 2006, nr 156 poz.1118 i odpowiednie rozporządzenia
9. USTAWA O PLANOWANIU I ZAGOSPODAROWANIU PRZESTRZENNYM, ustawa z dnia 27 marca 2003, Dziennik Ustaw 2003, nr 80, poz. 717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GK.NIK503_W1: </w:t>
      </w:r>
    </w:p>
    <w:p>
      <w:pPr/>
      <w:r>
        <w:rPr/>
        <w:t xml:space="preserve">Posiada elementarną wiedzę z zakresu pozyskiwania informacji o terenie na potrzeby projektowania inwestycji budowlanych. Zna zasady aktualizacji mapy zasadniczej i tworzenia map do celów projektowych.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GK.NIK503_W2: </w:t>
      </w:r>
    </w:p>
    <w:p>
      <w:pPr/>
      <w:r>
        <w:rPr/>
        <w:t xml:space="preserve">Ma wiedzę z zakresu geodezyjnego opracowania projektów budowlanych, projektowania osnów realizacyjnych i przygotowywania szkiców dokumentacyjnych.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GK.NIK503_W3: </w:t>
      </w:r>
    </w:p>
    <w:p>
      <w:pPr/>
      <w:r>
        <w:rPr/>
        <w:t xml:space="preserve">Ma podstawową wiedzę na temat metod  tyczenia punktów osiowych obiektów inżynierskich, sposobów oszacowania wymaganej dokładności tyczenia  a także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GK.NIK503_W4: </w:t>
      </w:r>
    </w:p>
    <w:p>
      <w:pPr/>
      <w:r>
        <w:rPr/>
        <w:t xml:space="preserve">Ma podstawową wiedzę na temat specyfiki i metod  pomiarów realizacyjnych i kontrolnych oraz sposobów oszacowania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GK.NIK503_W5: </w:t>
      </w:r>
    </w:p>
    <w:p>
      <w:pPr/>
      <w:r>
        <w:rPr/>
        <w:t xml:space="preserve">Zna podstawowe przepisy prawne i standardy techniczne regulujące prace przy geodezyjnej obsłudze inwestycji.</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GK.NIK503_U1: </w:t>
      </w:r>
    </w:p>
    <w:p>
      <w:pPr/>
      <w:r>
        <w:rPr/>
        <w:t xml:space="preserve">Potrafi wykonać geodezyjne opracowanie nieskomplikowanych geometrycznie projektów budowlanych, zaproponować odpowiednią osnowę realizacyjną.</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K_U02, K_U03, K_U10, K_U11, K_U12</w:t>
      </w:r>
    </w:p>
    <w:p>
      <w:pPr>
        <w:spacing w:before="20" w:after="190"/>
      </w:pPr>
      <w:r>
        <w:rPr>
          <w:b/>
          <w:bCs/>
        </w:rPr>
        <w:t xml:space="preserve">Powiązane efekty obszarowe: </w:t>
      </w:r>
      <w:r>
        <w:rPr/>
        <w:t xml:space="preserve">T1A_U02, T1A_U03, T1A_U08, T1A_U09, T1A_U13, T1A_U15, T1A_U14, T1A_U14, T1A_U16</w:t>
      </w:r>
    </w:p>
    <w:p>
      <w:pPr>
        <w:keepNext w:val="1"/>
        <w:spacing w:after="10"/>
      </w:pPr>
      <w:r>
        <w:rPr>
          <w:b/>
          <w:bCs/>
        </w:rPr>
        <w:t xml:space="preserve">Efekt GK.NIK503_U2: </w:t>
      </w:r>
    </w:p>
    <w:p>
      <w:pPr/>
      <w:r>
        <w:rPr/>
        <w:t xml:space="preserve">Potrafi wybrać odpowiednie metody tyczenia i dobrać odpowiedni sprzęt pomiarowy aby uzyskać  odpowiedni  pod względem niezawodności i dokładności efekt tyczenia.</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K_U01, K_U03, K_U10, K_U11, K_U12</w:t>
      </w:r>
    </w:p>
    <w:p>
      <w:pPr>
        <w:spacing w:before="20" w:after="190"/>
      </w:pPr>
      <w:r>
        <w:rPr>
          <w:b/>
          <w:bCs/>
        </w:rPr>
        <w:t xml:space="preserve">Powiązane efekty obszarowe: </w:t>
      </w:r>
      <w:r>
        <w:rPr/>
        <w:t xml:space="preserve">T1A_U01, T1A_U03, T1A_U08, T1A_U09, T1A_U13, T1A_U15, T1A_U14, T1A_U14, T1A_U16</w:t>
      </w:r>
    </w:p>
    <w:p>
      <w:pPr>
        <w:keepNext w:val="1"/>
        <w:spacing w:after="10"/>
      </w:pPr>
      <w:r>
        <w:rPr>
          <w:b/>
          <w:bCs/>
        </w:rPr>
        <w:t xml:space="preserve">Efekt GK.NIK503_U3: </w:t>
      </w:r>
    </w:p>
    <w:p>
      <w:pPr/>
      <w:r>
        <w:rPr/>
        <w:t xml:space="preserve">Potrafi zaprojektować i wykonać pomiar kontrolny płaskości elementu konstrukcyjnego. Potrafi poprawnie opracować wyniki pomiaru kontrolnego.</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K_U03, K_U10, K_U11, K_U12</w:t>
      </w:r>
    </w:p>
    <w:p>
      <w:pPr>
        <w:spacing w:before="20" w:after="190"/>
      </w:pPr>
      <w:r>
        <w:rPr>
          <w:b/>
          <w:bCs/>
        </w:rPr>
        <w:t xml:space="preserve">Powiązane efekty obszarowe: </w:t>
      </w:r>
      <w:r>
        <w:rPr/>
        <w:t xml:space="preserve">T1A_U03, T1A_U08, T1A_U09, T1A_U13, T1A_U15, T1A_U14, T1A_U14, T1A_U16</w:t>
      </w:r>
    </w:p>
    <w:p>
      <w:pPr>
        <w:pStyle w:val="Heading3"/>
      </w:pPr>
      <w:bookmarkStart w:id="4" w:name="_Toc4"/>
      <w:r>
        <w:t>Profil ogólnoakademicki - kompetencje społeczne</w:t>
      </w:r>
      <w:bookmarkEnd w:id="4"/>
    </w:p>
    <w:p>
      <w:pPr>
        <w:keepNext w:val="1"/>
        <w:spacing w:after="10"/>
      </w:pPr>
      <w:r>
        <w:rPr>
          <w:b/>
          <w:bCs/>
        </w:rPr>
        <w:t xml:space="preserve">Efekt GK.NIK503_K1: </w:t>
      </w:r>
    </w:p>
    <w:p>
      <w:pPr/>
      <w:r>
        <w:rPr/>
        <w:t xml:space="preserve">Potrafi nawiązać współpracę  z przedstawicielami branży budowlanej, pracować w grupie.</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2026-07-28T16:09:51+02:00</dcterms:created>
  <dcterms:modified xsi:type="dcterms:W3CDTF">2026-07-28T16:09:51+02:00</dcterms:modified>
</cp:coreProperties>
</file>

<file path=docProps/custom.xml><?xml version="1.0" encoding="utf-8"?>
<Properties xmlns="http://schemas.openxmlformats.org/officeDocument/2006/custom-properties" xmlns:vt="http://schemas.openxmlformats.org/officeDocument/2006/docPropsVTypes"/>
</file>