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24, w tym: obecność na wykładach: 8 godz., obecność na ćwiczeniach: 16 godz.
Przygotowanie do zajęć ćwiczeniowych: 16 godz., zapoznanie się ze wskazaną literaturą: 12 godz., przygotowanie do egzaminu i obecność na egzaminie: 24 godz.
Razem nakład pracy studenta: 76 godz. = 3 p.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Zakładanie katastru.
Prowadzenie katastru.
Aktualizacja danych katastralnych.
Udostępnianie danych katastralnych.
Modernizacja ewidencji gruntów i budynków.
Operat ewidencyjny. Dane przedmiotowe i podmiotowe zawarte w bazie danych katastralnych.
Ustalanie przebiegu granic działek ewidencyjnych.
Ćwiczenia projektowe:
Wykonanie numerycznej mapy ewidencyjnej.
Założenie bazy danych ewidencyjnych.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projektów, sprawozdań oraz sprawdzianów.
W celu zdania egzaminu pisemnego wymagane jest uzyskanie minimum 60% punktów.
Ocenę łączną stanowi średnia arytmetyczna z ocen z ćwiczeń oraz z egzaminu pisemnego.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przepisy prawa:
1. Ustawa z 1989 roku Prawo geodezyjne i kartograficzne.
2. Rozporządzenie z 2001 roku w sprawie ewidencji gruntów i budynków.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GK.NIK606_W1: </w:t>
      </w:r>
    </w:p>
    <w:p>
      <w:pPr/>
      <w:r>
        <w:rPr/>
        <w:t xml:space="preserve">zna zasady prowadzenia i udostępniania katastru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T1A_W04, T1A_W03, T1A_W08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GK.NIK606_U1: </w:t>
      </w:r>
    </w:p>
    <w:p>
      <w:pPr/>
      <w:r>
        <w:rPr/>
        <w:t xml:space="preserve">potrafi sporządzić numeryczną mapę ewidencyjną oraz rejestr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T1A_U12, T1A_U14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GK.NIK606_U1: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2025-04-10T15:31:52+02:00</dcterms:created>
  <dcterms:modified xsi:type="dcterms:W3CDTF">2025-04-10T15:31:52+02:00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