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24, w tym: obecność na wykładach: 8 godz., obecność na ćwiczeniach: 16 godz.
Przygotowanie do zajęć ćwiczeniowych: 16 godz., zapoznanie się ze wskazaną literaturą: 12 godz., przygotowanie do egzaminu i obecność na egzaminie: 24 godz.
Razem nakład pracy studenta: 76 godz. = 3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Zakładanie katastru.
Prowadzenie katastru.
Aktualizacja danych katastralnych.
Udostępnianie danych katastralnych.
Modernizacja ewidencji gruntów i budynków.
Operat ewidencyjny. Dane przedmiotowe i podmiotowe zawarte w bazie danych katastralnych.
Ustalanie przebiegu granic działek ewidencyjnych.
Ćwiczenia projektowe:
Wykonanie numerycznej mapy ewidencyjnej.
Założenie bazy danych ewidencyjnych.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projektów, sprawozdań oraz sprawdzianów.
W celu zdania egzaminu pisemnego wymagane jest uzyskanie minimum 60% punktów.
Ocenę łączną stanowi średnia arytmetyczna z ocen z ćwiczeń oraz z egzaminu pisemnego.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przepisy prawa:
1. Ustawa z 1989 roku Prawo geodezyjne i kartograficzne.
2. Rozporządzenie z 2001 roku w sprawie ewidencji gruntów i budynków.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GK.NIK606_W1: </w:t>
      </w:r>
    </w:p>
    <w:p>
      <w:pPr/>
      <w:r>
        <w:rPr/>
        <w:t xml:space="preserve">zna zasady prowadzenia i udostępniania katastru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GK.NIK606_U1: </w:t>
      </w:r>
    </w:p>
    <w:p>
      <w:pPr/>
      <w:r>
        <w:rPr/>
        <w:t xml:space="preserve">potrafi sporządzić numeryczną mapę ewidencyjną oraz rejestr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T1A_U12, T1A_U14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GK.NIK606_U1: </w:t>
      </w:r>
    </w:p>
    <w:p>
      <w:pPr/>
      <w:r>
        <w:rPr/>
        <w:t xml:space="preserve">rozumie pozatechniczne aspekty i skutki działalności inżyniera geodety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2024-05-15T16:04:55+02:00</dcterms:created>
  <dcterms:modified xsi:type="dcterms:W3CDTF">2024-05-15T16:04:55+02:00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