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Safety and efficacy of cosmetic products – regulatory compliance </w:t>
      </w:r>
    </w:p>
    <w:p>
      <w:pPr>
        <w:keepNext w:val="1"/>
        <w:spacing w:after="10"/>
      </w:pPr>
      <w:r>
        <w:rPr>
          <w:b/>
          <w:bCs/>
        </w:rPr>
        <w:t xml:space="preserve">Koordynator przedmiotu: </w:t>
      </w:r>
    </w:p>
    <w:p>
      <w:pPr>
        <w:spacing w:before="20" w:after="190"/>
      </w:pPr>
      <w:r>
        <w:rPr/>
        <w:t xml:space="preserve">Mgr Aleksandra Sołyga-Żurek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przygotowanie do zaliczenia i obecność na zaliczeniu – 20h
Razem nakład pracy studenta: 15h + 20h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Treści kształcenia: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Metody oceny: </w:t>
      </w:r>
    </w:p>
    <w:p>
      <w:pPr>
        <w:spacing w:before="20" w:after="190"/>
      </w:pPr>
      <w:r>
        <w:rPr/>
        <w:t xml:space="preserve">Written exam - open questions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Regulation (EC) No 1223/2009 of the European Parliament and of the Council of 30 November 2009 on cosmetic products.
2.	The SCCS’s notes of guidance for the testing of cosmetic ingredients and their safety evaluation – 7th revision. 14th December 2010.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2024-05-20T01:16:28+02:00</dcterms:created>
  <dcterms:modified xsi:type="dcterms:W3CDTF">2024-05-20T01:16:28+02:00</dcterms:modified>
</cp:coreProperties>
</file>

<file path=docProps/custom.xml><?xml version="1.0" encoding="utf-8"?>
<Properties xmlns="http://schemas.openxmlformats.org/officeDocument/2006/custom-properties" xmlns:vt="http://schemas.openxmlformats.org/officeDocument/2006/docPropsVTypes"/>
</file>