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Safety and efficacy of cosmetic products – regulatory compliance </w:t>
      </w:r>
    </w:p>
    <w:p>
      <w:pPr>
        <w:keepNext w:val="1"/>
        <w:spacing w:after="10"/>
      </w:pPr>
      <w:r>
        <w:rPr>
          <w:b/>
          <w:bCs/>
        </w:rPr>
        <w:t xml:space="preserve">Koordynator przedmiotu: </w:t>
      </w:r>
    </w:p>
    <w:p>
      <w:pPr>
        <w:spacing w:before="20" w:after="190"/>
      </w:pPr>
      <w:r>
        <w:rPr/>
        <w:t xml:space="preserve">Mgr Aleksandra Sołyga-Żurek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zaliczenia i obecność na zaliczeniu – 20h
Razem nakład pracy studenta: 15h + 20h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Treści kształcenia: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Metody oceny: </w:t>
      </w:r>
    </w:p>
    <w:p>
      <w:pPr>
        <w:spacing w:before="20" w:after="190"/>
      </w:pPr>
      <w:r>
        <w:rPr/>
        <w:t xml:space="preserve">Written exam - open questions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Regulation (EC) No 1223/2009 of the European Parliament and of the Council of 30 November 2009 on cosmetic products.
2.	The SCCS’s notes of guidance for the testing of cosmetic ingredients and their safety evaluation – 7th revision. 14th December 2010.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2026-07-29T11:24:40+02:00</dcterms:created>
  <dcterms:modified xsi:type="dcterms:W3CDTF">2026-07-29T11:24:40+02:00</dcterms:modified>
</cp:coreProperties>
</file>

<file path=docProps/custom.xml><?xml version="1.0" encoding="utf-8"?>
<Properties xmlns="http://schemas.openxmlformats.org/officeDocument/2006/custom-properties" xmlns:vt="http://schemas.openxmlformats.org/officeDocument/2006/docPropsVTypes"/>
</file>