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i rachunkowość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Maciej HOLKO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- udział w wykładach
10 h - przygotowanie do wykładów 
  5 h - przygotowanie do sprawdzianu 
ŁĄCZNIE 30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problematyką ekonomiki i rachunkowości poprzez położenie nacisku na ekonomikę produkcji i powiązanie kwestii rachunkowości z rachunkami narodowymi.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Mikroekonomika a (makro)ekonomika produkcji
2. Zysk i płaca na poziomie przedsiębiorstwa i całej gospodarki
3. Cena i wartość
4. Od sprawozdawczości finansowej (bilansu, rachunku wyników i cash-flow) do rachunków narodowych
5. Znaczenie inwestycji i oszczędności
6. Pieniądz i procent 
7. Postęp techniczny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(75%) i zadania wykonywane w grupach na zajęciach (25%)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J.Tuczko, "Zrozumieć finanse", Wydawnictwo Difin, 2013.
P. Sraffa "Produkcja towarów za pomocą towarów", PWN, Warszawa 1964.
A. Bhaduri "Makroekonomiczna teoria dynamiki produkcji towarowej", PWE, Warszawa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ERM_W01: </w:t>
      </w:r>
    </w:p>
    <w:p>
      <w:pPr/>
      <w:r>
        <w:rPr/>
        <w:t xml:space="preserve">ma podstawową wiedzę na temat wybranych problemów mikroekonomiki i makroekonomiki produkcji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keepNext w:val="1"/>
        <w:spacing w:after="10"/>
      </w:pPr>
      <w:r>
        <w:rPr>
          <w:b/>
          <w:bCs/>
        </w:rPr>
        <w:t xml:space="preserve">Efekt ERM_W02: </w:t>
      </w:r>
    </w:p>
    <w:p>
      <w:pPr/>
      <w:r>
        <w:rPr/>
        <w:t xml:space="preserve">ma podstawową wiedzę na temat wartości pieniądza w czasie, sprawozdawczości finansowej oraz inwestycji i oszczędności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ERM_U01: </w:t>
      </w:r>
    </w:p>
    <w:p>
      <w:pPr/>
      <w:r>
        <w:rPr/>
        <w:t xml:space="preserve">potrafi porównać rozwiązania modelowe ze względu na zadane kryteria ekonomiczne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ERM_K01: </w:t>
      </w:r>
    </w:p>
    <w:p>
      <w:pPr/>
      <w:r>
        <w:rPr/>
        <w:t xml:space="preserve">potrafi pracować w zespole kilkuosobowym rozwiązując wspólnie postawione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ERM_K02: </w:t>
      </w:r>
    </w:p>
    <w:p>
      <w:pPr/>
      <w:r>
        <w:rPr/>
        <w:t xml:space="preserve">rozumie ekonomiczne aspekty działalności inżynierskiej w skali przedsiębiorstwa i całej 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2024-05-11T12:44:43+02:00</dcterms:created>
  <dcterms:modified xsi:type="dcterms:W3CDTF">2024-05-11T12:44:43+02:00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