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w:t>
      </w:r>
    </w:p>
    <w:p>
      <w:pPr>
        <w:keepNext w:val="1"/>
        <w:spacing w:after="10"/>
      </w:pPr>
      <w:r>
        <w:rPr>
          <w:b/>
          <w:bCs/>
        </w:rPr>
        <w:t xml:space="preserve">Koordynator przedmiotu: </w:t>
      </w:r>
    </w:p>
    <w:p>
      <w:pPr>
        <w:spacing w:before="20" w:after="190"/>
      </w:pPr>
      <w:r>
        <w:rPr/>
        <w:t xml:space="preserve">dr inż. Ksawery Szykiedans, mgr inż. Błażej Kabziński, mgr inż. Roman 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godz. w tym:
•	wykład 15 godz,
•	udział w laboratoriach 30 godz.,
•	konsultacje – 2 godz.
2) Praca własna - 40 godz.
•	przygotowanie do sprawdzianów z wykładu: 10 godz. 
•	przygotowanie do ćwiczeń laboratoryjnych 15 godz. 
•	opracowanie raportów z ćwiczeń laboratoryjnych 15 godz.
RAZEM = 87 godz.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47 godz. w tym:
•	wykład 15 godz,
•	udział w laboratoriach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62 godz. w tym:
•	przygotowanie do ćwiczeń laboratoryjnych 15 godz. 
•	opracowanie raportów z ćwiczeń laboratoryjnych 15 godz.
•	udział w laboratoriach 30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i działaniem zespołów urządzeń multimedialnych, ich parametrami techniczno-eksploatacyjnymi oraz metodyką  projektowania takich urządzeń </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(każde z omawianych na wykładzie urządzeń będzie omówione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Laboratoria
Skanery	 Profil barwny skanera. Wpływ budowy i typu przetwornika na jakość otrzymanego skanu. Pomiar szumów własnych skanera.
Drukarki laserowe	Budowa, działanie, eksploatacja drukarek laserowych, ocena jakości wydruku
Drukarki termiczne	Budowa, działanie, eksploatacja drukarek termicznych, ocena jakości wydruku
Drukarek atramentowych Budowa, działanie, eksploatacja drukarek laserowych, ocena jakości wydruku
Badanie monitorów 	Badanie porównawcze i kalibracja monitorów LCD i CRT
Badanie kąta widzenia matrycy LCD
Badanie jakości druków dla niewidomych
Badanie jakości odbitek typu proof
</w:t>
      </w:r>
    </w:p>
    <w:p>
      <w:pPr>
        <w:keepNext w:val="1"/>
        <w:spacing w:after="10"/>
      </w:pPr>
      <w:r>
        <w:rPr>
          <w:b/>
          <w:bCs/>
        </w:rPr>
        <w:t xml:space="preserve">Metody oceny: </w:t>
      </w:r>
    </w:p>
    <w:p>
      <w:pPr>
        <w:spacing w:before="20" w:after="190"/>
      </w:pPr>
      <w:r>
        <w:rPr/>
        <w:t xml:space="preserve">Wykład – 2 sprawdziany.
Ćwiczenia laboratoryjne – w ramach zajęć zespoły studenckie wykonują kolejne zadania laboratoryjne, Sprawozdania w postaci raportu z realizacji prac są przedstawiane prowadzącym ćwiczenia  na kolejnych zajęciach laboratoryjnych lub w innym ustalonym z prowadzącym laboratoria terminie. W ramach oceny za dane laboratorium oceniane jest prawidłowość metodologiczna i merytoryczna prowadzenia prac do 2 pkt., raport końcowy (umiejętność sformułowania problemu, przedstawienie sposobu rozwiązania i sformułowanie wniosków) do 3 pkt. Ocena z wykładu stanowi 40% udziału w ocenie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Buczyński L.  „Komputerowe Urządzenia peryferyjne”  Annopol, 2003
Buczyński L. ”Skanery i skanowanie” MIKOM, 2005
Bushan B.: “Tribology and Mechanics of Magnetic Storage Devices” Springer Verlag. New York, 1996
Inglis A.F., Luther A.C. “Video Engineering” McGraw-Hill New York, 1996
Jedliński J. “Focusing actuator in CD drive – evaluation of transfer function parameters” 5th Polish-German Mechatronic Workshop 2005 “Trends in Mechatronics” Proceedings. Ed.: A.Pochanke, M.Bodnicki, J.Wierciak. p.82-86.
Kipphan  H. „Handbook of print media“ Springer Verlag Heidelberg, 2002                                                   
Lindner P. Tuma T., Myska M.  „Wielka księga  fotografii cyfrowej” MIKOM,  2004
Mallinson J.C.: “Foundations of Magnetic Recording” Academic Press, Inc., 1987
Marchant A.B. “Optical recording.  Technical Overview” Addison-Wesley Publishing Company, 1990
Mee, D. “Magnetic Recording”. Vol.III
Urbański B. „Magnetofony i gramofony cyfrowe”. WKiŁ Warszawa, 1989
Urbański B.: “Magnetowid”. WNT. Wyd. II  Warszawa, 1995
Watkinson J. “Coding for Digital Recording” Focal Press. London&amp;Boston, 1990
Baza patentowa USA – www.uspto.gov,  informacje internetowe  ze stron producentów sprzętu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Sprawdzian w czasie wykładu, sprawozdania z zadań laboratoryjnych</w:t>
      </w:r>
    </w:p>
    <w:p>
      <w:pPr>
        <w:spacing w:before="20" w:after="190"/>
      </w:pPr>
      <w:r>
        <w:rPr>
          <w:b/>
          <w:bCs/>
        </w:rPr>
        <w:t xml:space="preserve">Powiązane efekty kierunkowe: </w:t>
      </w:r>
      <w:r>
        <w:rPr/>
        <w:t xml:space="preserve">K_W12,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UMD_U01: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K_U01, K_U11, K_U16, K_U22, K_U26</w:t>
      </w:r>
    </w:p>
    <w:p>
      <w:pPr>
        <w:spacing w:before="20" w:after="190"/>
      </w:pPr>
      <w:r>
        <w:rPr>
          <w:b/>
          <w:bCs/>
        </w:rPr>
        <w:t xml:space="preserve">Powiązane efekty obszarowe: </w:t>
      </w:r>
      <w:r>
        <w:rPr/>
        <w:t xml:space="preserve">T1A_U01, T1A_U02, T1A_U08, T1A_U09, T1A_U07, T1A_U07, T1A_U15, T1A_U10</w:t>
      </w:r>
    </w:p>
    <w:p>
      <w:pPr>
        <w:pStyle w:val="Heading3"/>
      </w:pPr>
      <w:bookmarkStart w:id="4" w:name="_Toc4"/>
      <w:r>
        <w:t>Profil ogólnoakademicki - kompetencje społeczne</w:t>
      </w:r>
      <w:bookmarkEnd w:id="4"/>
    </w:p>
    <w:p>
      <w:pPr>
        <w:keepNext w:val="1"/>
        <w:spacing w:after="10"/>
      </w:pPr>
      <w:r>
        <w:rPr>
          <w:b/>
          <w:bCs/>
        </w:rPr>
        <w:t xml:space="preserve">Efekt UMD_K01: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2024-05-19T08:39:17+02:00</dcterms:created>
  <dcterms:modified xsi:type="dcterms:W3CDTF">2024-05-19T08:39:17+02:00</dcterms:modified>
</cp:coreProperties>
</file>

<file path=docProps/custom.xml><?xml version="1.0" encoding="utf-8"?>
<Properties xmlns="http://schemas.openxmlformats.org/officeDocument/2006/custom-properties" xmlns:vt="http://schemas.openxmlformats.org/officeDocument/2006/docPropsVTypes"/>
</file>