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45, w tym:
•	wykład: 30 godz.
•	laboratorium: 15 godz.
2) Praca własna 
•	przygotowanie do kolokwiów zaliczających wykład: 20 godz.
•	przygotowanie do zajęć laboratoryjnych: 10 godz.
•	opracowanie sprawozdań: 10 godz.
RAZEM: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 45, w tym:
•	wykład: 30 godz.
•	laboratorium: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 obecność w laboratorium: 15 godz.,  przygotowanie do zajęć laboratoryjnych: 10 godz, opracowanie sprawozdań: 10 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keepNext w:val="1"/>
        <w:spacing w:after="10"/>
      </w:pPr>
      <w:r>
        <w:rPr>
          <w:b/>
          <w:bCs/>
        </w:rPr>
        <w:t xml:space="preserve">Efekt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OMC_u03: </w:t>
      </w:r>
    </w:p>
    <w:p>
      <w:pPr/>
      <w:r>
        <w:rPr/>
        <w:t xml:space="preserve">Student umie przeprowadzić eksperymenty dot.  zasad działania wybranego zespołu/układu optomechatronicznego, w szczególności dotyczące badania  jakości układów optycznych, przeprowadzania analiz  parametrów światłowodowego toru transmisji sygnałów, optycznych metod pomiaru kształtu obiektów trójwymiarowych, 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OMC_k02: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2024-05-19T00:53:36+02:00</dcterms:created>
  <dcterms:modified xsi:type="dcterms:W3CDTF">2024-05-19T00:53:36+02:00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