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przeddyplomowa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w ramach instytutu lub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 firmie: 160 godzin Razem: 160 godzin (4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Zastosowanie w praktyce wiedzy, umiejętności i kompetencji społecznych zdobytych w trakcie studiów.
Zdobycie nowej wiedzy i umiejętności praktycznych.
Rozpoznanie potrzeb i wymagań pracodawców dotyczących nowych pracowników.
Poznanie systemu organizacji przedsiębiorstwa oraz uwarunkowań i reguł obowiązujących w środowisku pracy.
Kształtowanie właściwego stosunku do pracy: dbanie o jakość pracy, terminowość wykonywania zadań, prawidłowa współpraca z innymi osobami i działami w przedsiębiorstwie, rozwój własnej inicjatywy w środkowisku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zależą od miejsca wykonywania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wykonania praktyki i potwierdzenia z miejsca realizacji praktyki. Wynik oceny: zaliczona/niezaliczona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Praktyka może być realizowana za granicą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PRA_W01: </w:t>
      </w:r>
    </w:p>
    <w:p>
      <w:pPr/>
      <w:r>
        <w:rPr/>
        <w:t xml:space="preserve">Zna zagadnienia dotyczące urządzeń, technologii lub procesów definiujących specyfikę firmy organizującej praktykę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PRA_U01: </w:t>
      </w:r>
    </w:p>
    <w:p>
      <w:pPr/>
      <w:r>
        <w:rPr/>
        <w:t xml:space="preserve">Potrafi wykorzystać wiedzę zdobywaną w miejscu praktyki oraz uzyskiwaną z innych źródeł i integrować ją z wiedzą uzyskaną podczas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keepNext w:val="1"/>
        <w:spacing w:after="10"/>
      </w:pPr>
      <w:r>
        <w:rPr>
          <w:b/>
          <w:bCs/>
        </w:rPr>
        <w:t xml:space="preserve">Efekt PRA_U02: </w:t>
      </w:r>
    </w:p>
    <w:p>
      <w:pPr/>
      <w:r>
        <w:rPr/>
        <w:t xml:space="preserve">Rozumie i stosuje zasady BHP w miejscu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PRA_K01: </w:t>
      </w:r>
    </w:p>
    <w:p>
      <w:pPr/>
      <w:r>
        <w:rPr/>
        <w:t xml:space="preserve">Ma świadomość wagi pracy zespołowej, aktywnie podchodzi do wykonania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2024-05-18T20:27:54+02:00</dcterms:created>
  <dcterms:modified xsi:type="dcterms:W3CDTF">2024-05-18T20:27:54+02:00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