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godz.,studiowanie literatury przedmiotu 20 godz., przygotowanie się do egzaminu z wykładu 18 godz., konsultacje 2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(22 godz., w tym: praca na  wykładach 18 godz.,, konsultacje 2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Treść zajęć:
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Tr2A_W05, Tr2A_W07, Tr2A_W08</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Tr2A_U01, Tr2A_U04</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efekty kierunkowe: </w:t>
      </w:r>
      <w:r>
        <w:rPr/>
        <w:t xml:space="preserve">Tr2A_K01, Tr2A_K02, Tr2A_K04</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2024-04-28T04:11:36+02:00</dcterms:created>
  <dcterms:modified xsi:type="dcterms:W3CDTF">2024-04-28T04:11:36+02:00</dcterms:modified>
</cp:coreProperties>
</file>

<file path=docProps/custom.xml><?xml version="1.0" encoding="utf-8"?>
<Properties xmlns="http://schemas.openxmlformats.org/officeDocument/2006/custom-properties" xmlns:vt="http://schemas.openxmlformats.org/officeDocument/2006/docPropsVTypes"/>
</file>